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FD58E5">
      <w:pPr>
        <w:tabs>
          <w:tab w:val="right" w:pos="9612"/>
          <w:tab w:val="right" w:pos="13323"/>
        </w:tabs>
        <w:rPr>
          <w:rFonts w:hint="eastAsia" w:eastAsia="宋体"/>
          <w:b/>
          <w:lang w:val="en-US" w:eastAsia="zh-CN"/>
        </w:rPr>
      </w:pPr>
      <w:bookmarkStart w:id="0" w:name="DocumentFor"/>
      <w:bookmarkEnd w:id="0"/>
      <w:bookmarkStart w:id="1" w:name="Title"/>
      <w:bookmarkEnd w:id="1"/>
      <w:r>
        <w:rPr>
          <w:b/>
        </w:rPr>
        <w:t>3GPP TSG RAN WG2#1</w:t>
      </w:r>
      <w:r>
        <w:rPr>
          <w:rFonts w:hint="eastAsia" w:eastAsia="宋体"/>
          <w:b/>
          <w:lang w:val="en-US" w:eastAsia="zh-CN"/>
        </w:rPr>
        <w:t>31bis</w:t>
      </w:r>
      <w:r>
        <w:rPr>
          <w:b/>
        </w:rPr>
        <w:tab/>
      </w:r>
      <w:r>
        <w:rPr>
          <w:rFonts w:hint="eastAsia"/>
          <w:b/>
        </w:rPr>
        <w:t>R2-2506908</w:t>
      </w:r>
    </w:p>
    <w:p w14:paraId="21EAAA73">
      <w:pPr>
        <w:pStyle w:val="56"/>
        <w:jc w:val="left"/>
        <w:rPr>
          <w:rFonts w:hint="default" w:eastAsia="宋体" w:cs="Arial"/>
          <w:sz w:val="20"/>
          <w:lang w:val="en-US" w:eastAsia="zh-CN"/>
        </w:rPr>
      </w:pPr>
      <w:r>
        <w:rPr>
          <w:rFonts w:hint="eastAsia" w:eastAsia="宋体" w:cs="Arial"/>
          <w:sz w:val="20"/>
          <w:lang w:val="en-US" w:eastAsia="zh-CN"/>
        </w:rPr>
        <w:t>Prague, Czech Republic, Oct. 13</w:t>
      </w:r>
      <w:r>
        <w:rPr>
          <w:rFonts w:hint="eastAsia" w:eastAsia="宋体" w:cs="Arial"/>
          <w:sz w:val="20"/>
          <w:vertAlign w:val="superscript"/>
          <w:lang w:val="en-US" w:eastAsia="zh-CN"/>
        </w:rPr>
        <w:t>th</w:t>
      </w:r>
      <w:r>
        <w:rPr>
          <w:rFonts w:hint="eastAsia" w:eastAsia="宋体" w:cs="Arial"/>
          <w:sz w:val="20"/>
          <w:lang w:val="en-US" w:eastAsia="zh-CN"/>
        </w:rPr>
        <w:t>-17</w:t>
      </w:r>
      <w:r>
        <w:rPr>
          <w:rFonts w:hint="eastAsia" w:eastAsia="宋体" w:cs="Arial"/>
          <w:sz w:val="20"/>
          <w:vertAlign w:val="superscript"/>
          <w:lang w:val="en-US" w:eastAsia="zh-CN"/>
        </w:rPr>
        <w:t>th</w:t>
      </w:r>
      <w:r>
        <w:rPr>
          <w:rFonts w:hint="eastAsia" w:eastAsia="宋体" w:cs="Arial"/>
          <w:sz w:val="20"/>
          <w:vertAlign w:val="baseline"/>
          <w:lang w:val="en-US" w:eastAsia="zh-CN"/>
        </w:rPr>
        <w:t>, 2025</w:t>
      </w:r>
    </w:p>
    <w:p w14:paraId="09A242E4">
      <w:pPr>
        <w:pStyle w:val="56"/>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9.7.2</w:t>
      </w:r>
    </w:p>
    <w:p w14:paraId="71EF1B02">
      <w:pPr>
        <w:pStyle w:val="56"/>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14:paraId="13736CDE">
      <w:pPr>
        <w:pStyle w:val="56"/>
        <w:jc w:val="left"/>
        <w:rPr>
          <w:rFonts w:hint="default" w:eastAsia="宋体" w:cs="Arial"/>
          <w:sz w:val="20"/>
          <w:lang w:val="en-US" w:eastAsia="zh-CN"/>
        </w:rPr>
      </w:pPr>
      <w:r>
        <w:rPr>
          <w:rFonts w:cs="Arial"/>
          <w:sz w:val="20"/>
        </w:rPr>
        <w:t>Title:</w:t>
      </w:r>
      <w:r>
        <w:rPr>
          <w:rFonts w:cs="Arial"/>
          <w:sz w:val="20"/>
        </w:rPr>
        <w:tab/>
      </w:r>
      <w:r>
        <w:rPr>
          <w:rFonts w:hint="eastAsia" w:eastAsia="宋体" w:cs="Arial"/>
          <w:sz w:val="20"/>
          <w:lang w:val="en-US" w:eastAsia="zh-CN"/>
        </w:rPr>
        <w:t>Discussion on UP solution vs. CP solution for voice support over NB-IoT-NTN</w:t>
      </w:r>
    </w:p>
    <w:p w14:paraId="6DF56118">
      <w:pPr>
        <w:pStyle w:val="56"/>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Discussion</w:t>
      </w:r>
    </w:p>
    <w:p w14:paraId="4D1E0C55">
      <w:pPr>
        <w:pStyle w:val="2"/>
        <w:rPr>
          <w:rFonts w:cs="Arial"/>
          <w:sz w:val="32"/>
          <w:szCs w:val="32"/>
        </w:rPr>
      </w:pPr>
      <w:r>
        <w:rPr>
          <w:rFonts w:cs="Arial"/>
          <w:sz w:val="32"/>
          <w:szCs w:val="32"/>
        </w:rPr>
        <w:t>Introduction</w:t>
      </w:r>
    </w:p>
    <w:p w14:paraId="46573DE3">
      <w:pPr>
        <w:suppressAutoHyphens/>
        <w:adjustRightInd/>
        <w:spacing w:before="120"/>
        <w:rPr>
          <w:rFonts w:hint="eastAsia" w:eastAsiaTheme="minorEastAsia"/>
          <w:bCs/>
          <w:lang w:val="en-US" w:eastAsia="zh-CN"/>
        </w:rPr>
      </w:pPr>
      <w:r>
        <w:rPr>
          <w:rFonts w:hint="eastAsia" w:eastAsiaTheme="minorEastAsia"/>
          <w:bCs/>
          <w:lang w:val="en-US" w:eastAsia="zh-CN"/>
        </w:rPr>
        <w:t>A new R20 work item Non-Terrestrial Networks (NTN) for Internet of Things (IoT) Phase 4 is agreed in RAN #108 to support IMS voice call over GSO for NB-IoT-NTN.</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0B27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F50BD63">
            <w:pPr>
              <w:keepNext w:val="0"/>
              <w:keepLines w:val="0"/>
              <w:pageBreakBefore w:val="0"/>
              <w:kinsoku/>
              <w:wordWrap/>
              <w:topLinePunct w:val="0"/>
              <w:bidi w:val="0"/>
              <w:snapToGrid/>
              <w:spacing w:after="0"/>
              <w:rPr>
                <w:bCs/>
              </w:rPr>
            </w:pPr>
            <w:r>
              <w:rPr>
                <w:bCs/>
              </w:rPr>
              <w:t>The aim of this work item is to specify the enhancement of NB-IoT-NTN to support IMS voice call over GSO with the following objectives:</w:t>
            </w:r>
          </w:p>
          <w:p w14:paraId="177E4EEB">
            <w:pPr>
              <w:pStyle w:val="109"/>
              <w:keepNext w:val="0"/>
              <w:keepLines w:val="0"/>
              <w:pageBreakBefore w:val="0"/>
              <w:widowControl w:val="0"/>
              <w:numPr>
                <w:ilvl w:val="0"/>
                <w:numId w:val="11"/>
              </w:numPr>
              <w:kinsoku/>
              <w:wordWrap/>
              <w:overflowPunct/>
              <w:topLinePunct w:val="0"/>
              <w:autoSpaceDE/>
              <w:autoSpaceDN/>
              <w:bidi w:val="0"/>
              <w:adjustRightInd/>
              <w:snapToGrid/>
              <w:spacing w:after="0"/>
              <w:ind w:hanging="357"/>
              <w:contextualSpacing/>
              <w:jc w:val="both"/>
              <w:textAlignment w:val="auto"/>
            </w:pPr>
            <w:r>
              <w:t>Down-select between CP and UP solutions for voice support over NB-IoT-NTN until RAN#110 [RAN2]</w:t>
            </w:r>
          </w:p>
          <w:p w14:paraId="63A63994">
            <w:pPr>
              <w:pStyle w:val="109"/>
              <w:keepNext w:val="0"/>
              <w:keepLines w:val="0"/>
              <w:pageBreakBefore w:val="0"/>
              <w:widowControl w:val="0"/>
              <w:numPr>
                <w:ilvl w:val="1"/>
                <w:numId w:val="11"/>
              </w:numPr>
              <w:kinsoku/>
              <w:wordWrap/>
              <w:overflowPunct/>
              <w:topLinePunct w:val="0"/>
              <w:autoSpaceDE/>
              <w:autoSpaceDN/>
              <w:bidi w:val="0"/>
              <w:adjustRightInd/>
              <w:snapToGrid/>
              <w:spacing w:after="0"/>
              <w:ind w:hanging="357"/>
              <w:contextualSpacing/>
              <w:jc w:val="both"/>
              <w:textAlignment w:val="auto"/>
            </w:pPr>
            <w:r>
              <w:rPr>
                <w:rFonts w:eastAsia="等线"/>
                <w:lang w:eastAsia="zh-CN"/>
              </w:rPr>
              <w:t>Coordination with SA is required</w:t>
            </w:r>
          </w:p>
          <w:p w14:paraId="7AFBC30C">
            <w:pPr>
              <w:pStyle w:val="109"/>
              <w:keepNext w:val="0"/>
              <w:keepLines w:val="0"/>
              <w:pageBreakBefore w:val="0"/>
              <w:widowControl w:val="0"/>
              <w:numPr>
                <w:ilvl w:val="1"/>
                <w:numId w:val="11"/>
              </w:numPr>
              <w:kinsoku/>
              <w:wordWrap/>
              <w:overflowPunct/>
              <w:topLinePunct w:val="0"/>
              <w:autoSpaceDE/>
              <w:autoSpaceDN/>
              <w:bidi w:val="0"/>
              <w:adjustRightInd/>
              <w:snapToGrid/>
              <w:spacing w:after="0"/>
              <w:ind w:hanging="357"/>
              <w:contextualSpacing/>
              <w:jc w:val="both"/>
              <w:textAlignment w:val="auto"/>
            </w:pPr>
            <w:r>
              <w:rPr>
                <w:rFonts w:hint="eastAsia" w:eastAsia="等线"/>
                <w:lang w:eastAsia="zh-CN"/>
              </w:rPr>
              <w:t>T</w:t>
            </w:r>
            <w:r>
              <w:rPr>
                <w:rFonts w:eastAsia="等线"/>
                <w:lang w:eastAsia="zh-CN"/>
              </w:rPr>
              <w:t xml:space="preserve">he objective can be updated with further details based on the outcome of the above down-selection </w:t>
            </w:r>
          </w:p>
          <w:p w14:paraId="27768CDC">
            <w:pPr>
              <w:pStyle w:val="109"/>
              <w:keepNext w:val="0"/>
              <w:keepLines w:val="0"/>
              <w:pageBreakBefore w:val="0"/>
              <w:widowControl w:val="0"/>
              <w:numPr>
                <w:ilvl w:val="0"/>
                <w:numId w:val="11"/>
              </w:numPr>
              <w:kinsoku/>
              <w:wordWrap/>
              <w:overflowPunct/>
              <w:topLinePunct w:val="0"/>
              <w:autoSpaceDE/>
              <w:autoSpaceDN/>
              <w:bidi w:val="0"/>
              <w:adjustRightInd/>
              <w:snapToGrid/>
              <w:spacing w:after="0"/>
              <w:ind w:hanging="357"/>
              <w:contextualSpacing/>
              <w:jc w:val="both"/>
              <w:textAlignment w:val="auto"/>
              <w:rPr>
                <w:i/>
                <w:iCs/>
                <w:color w:val="000000"/>
                <w:lang w:eastAsia="zh-CN"/>
              </w:rPr>
            </w:pPr>
            <w:r>
              <w:t>Support of semi-persistent scheduling for NB-IoT-NTN for DL and UL data transmission for voice packets [RAN2, RAN1]</w:t>
            </w:r>
          </w:p>
          <w:p w14:paraId="0A06A42C">
            <w:pPr>
              <w:pStyle w:val="109"/>
              <w:keepNext w:val="0"/>
              <w:keepLines w:val="0"/>
              <w:pageBreakBefore w:val="0"/>
              <w:widowControl w:val="0"/>
              <w:numPr>
                <w:ilvl w:val="0"/>
                <w:numId w:val="11"/>
              </w:numPr>
              <w:kinsoku/>
              <w:wordWrap/>
              <w:overflowPunct/>
              <w:topLinePunct w:val="0"/>
              <w:autoSpaceDE/>
              <w:autoSpaceDN/>
              <w:bidi w:val="0"/>
              <w:adjustRightInd/>
              <w:snapToGrid/>
              <w:spacing w:after="0"/>
              <w:ind w:hanging="357"/>
              <w:contextualSpacing/>
              <w:jc w:val="both"/>
              <w:textAlignment w:val="auto"/>
            </w:pPr>
            <w:r>
              <w:t xml:space="preserve">Support of necessary modifications to RRC connection setup procedure for NB-IoT-NTN [RAN2]  </w:t>
            </w:r>
          </w:p>
          <w:p w14:paraId="3BD4F411">
            <w:pPr>
              <w:pStyle w:val="109"/>
              <w:keepNext w:val="0"/>
              <w:keepLines w:val="0"/>
              <w:pageBreakBefore w:val="0"/>
              <w:widowControl w:val="0"/>
              <w:numPr>
                <w:ilvl w:val="0"/>
                <w:numId w:val="11"/>
              </w:numPr>
              <w:kinsoku/>
              <w:wordWrap/>
              <w:overflowPunct/>
              <w:topLinePunct w:val="0"/>
              <w:autoSpaceDE/>
              <w:autoSpaceDN/>
              <w:bidi w:val="0"/>
              <w:adjustRightInd/>
              <w:snapToGrid/>
              <w:spacing w:after="0"/>
              <w:ind w:hanging="357"/>
              <w:contextualSpacing/>
              <w:jc w:val="both"/>
              <w:textAlignment w:val="auto"/>
            </w:pPr>
            <w:r>
              <w:t>Support of necessary modifications for emergency call for voice over NB-IoT-NTN [RAN2]</w:t>
            </w:r>
          </w:p>
          <w:p w14:paraId="73A3FFF9">
            <w:pPr>
              <w:pStyle w:val="109"/>
              <w:keepNext w:val="0"/>
              <w:keepLines w:val="0"/>
              <w:pageBreakBefore w:val="0"/>
              <w:widowControl w:val="0"/>
              <w:numPr>
                <w:ilvl w:val="0"/>
                <w:numId w:val="11"/>
              </w:numPr>
              <w:kinsoku/>
              <w:wordWrap/>
              <w:overflowPunct/>
              <w:topLinePunct w:val="0"/>
              <w:autoSpaceDE/>
              <w:autoSpaceDN/>
              <w:bidi w:val="0"/>
              <w:adjustRightInd/>
              <w:snapToGrid/>
              <w:spacing w:after="0"/>
              <w:ind w:hanging="357"/>
              <w:contextualSpacing/>
              <w:jc w:val="both"/>
              <w:textAlignment w:val="auto"/>
            </w:pPr>
            <w:r>
              <w:t xml:space="preserve">Study and if feasible, specify UE transmit power higher than PC1 (e.g. up to 37dBm) for NB-IoT-NTN [RAN4] </w:t>
            </w:r>
          </w:p>
          <w:p w14:paraId="48347194">
            <w:pPr>
              <w:pStyle w:val="109"/>
              <w:keepNext w:val="0"/>
              <w:keepLines w:val="0"/>
              <w:pageBreakBefore w:val="0"/>
              <w:widowControl w:val="0"/>
              <w:numPr>
                <w:ilvl w:val="0"/>
                <w:numId w:val="11"/>
              </w:numPr>
              <w:kinsoku/>
              <w:wordWrap/>
              <w:overflowPunct/>
              <w:topLinePunct w:val="0"/>
              <w:autoSpaceDE/>
              <w:autoSpaceDN/>
              <w:bidi w:val="0"/>
              <w:adjustRightInd/>
              <w:snapToGrid/>
              <w:spacing w:after="0"/>
              <w:ind w:hanging="357"/>
              <w:contextualSpacing/>
              <w:jc w:val="both"/>
              <w:textAlignment w:val="auto"/>
            </w:pPr>
            <w:r>
              <w:t xml:space="preserve">Note: The enhancements to support </w:t>
            </w:r>
            <w:r>
              <w:rPr>
                <w:rFonts w:eastAsia="等线"/>
                <w:lang w:eastAsia="zh-CN"/>
              </w:rPr>
              <w:t>voice over NB-IoT-NTN via GSO in this work item may be also applicable</w:t>
            </w:r>
            <w:r>
              <w:t xml:space="preserve"> to NGSO cases without additional specification enhancements</w:t>
            </w:r>
          </w:p>
          <w:p w14:paraId="4487C2BA">
            <w:pPr>
              <w:pStyle w:val="109"/>
              <w:keepNext w:val="0"/>
              <w:keepLines w:val="0"/>
              <w:pageBreakBefore w:val="0"/>
              <w:widowControl w:val="0"/>
              <w:numPr>
                <w:ilvl w:val="0"/>
                <w:numId w:val="11"/>
              </w:numPr>
              <w:kinsoku/>
              <w:wordWrap/>
              <w:overflowPunct/>
              <w:topLinePunct w:val="0"/>
              <w:autoSpaceDE/>
              <w:autoSpaceDN/>
              <w:bidi w:val="0"/>
              <w:adjustRightInd/>
              <w:snapToGrid/>
              <w:spacing w:after="0"/>
              <w:ind w:hanging="357"/>
              <w:contextualSpacing/>
              <w:jc w:val="both"/>
              <w:textAlignment w:val="auto"/>
              <w:rPr>
                <w:rFonts w:hint="default" w:eastAsiaTheme="minorEastAsia"/>
                <w:bCs/>
                <w:vertAlign w:val="baseline"/>
                <w:lang w:val="en-US" w:eastAsia="zh-CN"/>
              </w:rPr>
            </w:pPr>
            <w:r>
              <w:t>Note: Coordination with SA4 is expected</w:t>
            </w:r>
          </w:p>
        </w:tc>
      </w:tr>
    </w:tbl>
    <w:p w14:paraId="256B976C">
      <w:pPr>
        <w:suppressAutoHyphens/>
        <w:adjustRightInd/>
        <w:spacing w:before="120"/>
        <w:rPr>
          <w:rFonts w:hint="eastAsia" w:eastAsia="宋体" w:cs="Arial"/>
          <w:lang w:val="en-US" w:eastAsia="zh-CN"/>
        </w:rPr>
      </w:pPr>
      <w:r>
        <w:rPr>
          <w:rFonts w:hint="eastAsia" w:eastAsiaTheme="minorEastAsia"/>
          <w:b w:val="0"/>
          <w:bCs/>
          <w:lang w:val="en-US" w:eastAsia="zh-CN"/>
        </w:rPr>
        <w:t xml:space="preserve">Based on the WID scope, to support </w:t>
      </w:r>
      <w:r>
        <w:t>voice</w:t>
      </w:r>
      <w:r>
        <w:rPr>
          <w:rFonts w:hint="eastAsia" w:eastAsia="宋体"/>
          <w:lang w:val="en-US" w:eastAsia="zh-CN"/>
        </w:rPr>
        <w:t xml:space="preserve"> </w:t>
      </w:r>
      <w:r>
        <w:t>over NB-IoT-NTN</w:t>
      </w:r>
      <w:r>
        <w:rPr>
          <w:rFonts w:hint="eastAsia" w:eastAsia="宋体"/>
          <w:lang w:val="en-US" w:eastAsia="zh-CN"/>
        </w:rPr>
        <w:t xml:space="preserve">, </w:t>
      </w:r>
      <w:r>
        <w:rPr>
          <w:rFonts w:hint="eastAsia" w:eastAsiaTheme="minorEastAsia"/>
          <w:b w:val="0"/>
          <w:bCs/>
          <w:lang w:val="en-US" w:eastAsia="zh-CN"/>
        </w:rPr>
        <w:t xml:space="preserve">we need to down select between CP and UP solutions firstly. </w:t>
      </w:r>
      <w:r>
        <w:rPr>
          <w:rFonts w:hint="eastAsia" w:cs="Arial" w:eastAsiaTheme="minorEastAsia"/>
        </w:rPr>
        <w:t>I</w:t>
      </w:r>
      <w:r>
        <w:rPr>
          <w:rFonts w:cs="Arial"/>
        </w:rPr>
        <w:t>n this contribution, we would like to provide</w:t>
      </w:r>
      <w:r>
        <w:rPr>
          <w:rFonts w:hint="eastAsia" w:eastAsia="宋体" w:cs="Arial"/>
          <w:lang w:val="en-US" w:eastAsia="zh-CN"/>
        </w:rPr>
        <w:t xml:space="preserve"> some analysis to help </w:t>
      </w:r>
      <w:r>
        <w:rPr>
          <w:rFonts w:hint="eastAsia" w:eastAsiaTheme="minorEastAsia"/>
          <w:b w:val="0"/>
          <w:bCs/>
          <w:lang w:val="en-US" w:eastAsia="zh-CN"/>
        </w:rPr>
        <w:t xml:space="preserve">down select between CP and UP solutions </w:t>
      </w:r>
      <w:r>
        <w:rPr>
          <w:rFonts w:hint="eastAsia" w:eastAsia="宋体" w:cs="Arial"/>
          <w:lang w:val="en-US" w:eastAsia="zh-CN"/>
        </w:rPr>
        <w:t xml:space="preserve">for </w:t>
      </w:r>
      <w:r>
        <w:rPr>
          <w:rFonts w:hint="eastAsia" w:eastAsiaTheme="minorEastAsia"/>
          <w:bCs/>
          <w:lang w:val="en-US" w:eastAsia="zh-CN"/>
        </w:rPr>
        <w:t>support IMS voice call over GSO for NB-IoT-NTN.</w:t>
      </w:r>
    </w:p>
    <w:p w14:paraId="6559894C">
      <w:pPr>
        <w:pStyle w:val="2"/>
        <w:rPr>
          <w:rFonts w:hint="default" w:eastAsiaTheme="minorEastAsia"/>
          <w:bCs/>
          <w:sz w:val="32"/>
          <w:szCs w:val="32"/>
          <w:u w:val="single"/>
          <w:lang w:val="en-US" w:eastAsia="zh-CN"/>
        </w:rPr>
      </w:pPr>
      <w:r>
        <w:rPr>
          <w:rFonts w:cs="Arial"/>
          <w:sz w:val="32"/>
          <w:szCs w:val="32"/>
        </w:rPr>
        <w:t>Discussion</w:t>
      </w:r>
      <w:bookmarkStart w:id="2" w:name="_Hlk41985036"/>
    </w:p>
    <w:p w14:paraId="0089CEC0">
      <w:pPr>
        <w:pStyle w:val="60"/>
        <w:spacing w:after="0"/>
        <w:ind w:left="0" w:firstLine="0"/>
        <w:rPr>
          <w:rFonts w:hint="eastAsia" w:eastAsiaTheme="minorEastAsia"/>
          <w:b w:val="0"/>
          <w:bCs/>
          <w:u w:val="none"/>
          <w:lang w:val="en-US" w:eastAsia="zh-CN"/>
        </w:rPr>
      </w:pPr>
      <w:r>
        <w:rPr>
          <w:rFonts w:hint="eastAsia" w:eastAsiaTheme="minorEastAsia"/>
          <w:b w:val="0"/>
          <w:bCs/>
          <w:u w:val="none"/>
          <w:lang w:val="en-US" w:eastAsia="zh-CN"/>
        </w:rPr>
        <w:t>In the SA4 LS [2], there is a question to RAN2 as following:</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BC10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439F8FA">
            <w:pPr>
              <w:ind w:left="1985" w:hanging="1985"/>
              <w:outlineLvl w:val="0"/>
              <w:rPr>
                <w:rFonts w:ascii="Arial" w:hAnsi="Arial" w:cs="Arial"/>
                <w:b/>
                <w:sz w:val="20"/>
                <w:szCs w:val="20"/>
                <w:lang w:eastAsia="zh-CN"/>
              </w:rPr>
            </w:pPr>
            <w:r>
              <w:rPr>
                <w:rFonts w:ascii="Arial" w:hAnsi="Arial" w:cs="Arial"/>
                <w:b/>
                <w:sz w:val="20"/>
                <w:szCs w:val="20"/>
              </w:rPr>
              <w:t>To SA2 and RAN2</w:t>
            </w:r>
            <w:r>
              <w:rPr>
                <w:rFonts w:ascii="Arial" w:hAnsi="Arial" w:cs="Arial"/>
                <w:b/>
                <w:sz w:val="20"/>
                <w:szCs w:val="20"/>
                <w:lang w:eastAsia="zh-CN"/>
              </w:rPr>
              <w:t>:</w:t>
            </w:r>
          </w:p>
          <w:p w14:paraId="678317C3">
            <w:pPr>
              <w:rPr>
                <w:rFonts w:ascii="Arial" w:hAnsi="Arial" w:eastAsia="等线" w:cs="Arial"/>
                <w:sz w:val="20"/>
                <w:szCs w:val="20"/>
                <w:lang w:eastAsia="zh-CN"/>
              </w:rPr>
            </w:pPr>
            <w:r>
              <w:rPr>
                <w:rFonts w:ascii="Arial" w:hAnsi="Arial" w:cs="Arial"/>
                <w:b/>
                <w:sz w:val="20"/>
                <w:szCs w:val="20"/>
              </w:rPr>
              <w:t xml:space="preserve">ACTION: </w:t>
            </w:r>
            <w:r>
              <w:rPr>
                <w:rFonts w:ascii="Arial" w:hAnsi="Arial" w:eastAsia="等线" w:cs="Arial"/>
                <w:sz w:val="20"/>
                <w:szCs w:val="20"/>
                <w:lang w:eastAsia="zh-CN"/>
              </w:rPr>
              <w:t xml:space="preserve">SA4 kindly asks SA2 and RAN2 to comment on </w:t>
            </w:r>
          </w:p>
          <w:p w14:paraId="6A6F982C">
            <w:pPr>
              <w:pStyle w:val="109"/>
              <w:numPr>
                <w:ilvl w:val="0"/>
                <w:numId w:val="12"/>
              </w:numPr>
              <w:rPr>
                <w:rFonts w:ascii="Arial" w:hAnsi="Arial" w:eastAsia="等线" w:cs="Arial"/>
                <w:lang w:eastAsia="zh-CN"/>
              </w:rPr>
            </w:pPr>
            <w:r>
              <w:rPr>
                <w:rFonts w:ascii="Arial" w:hAnsi="Arial" w:eastAsia="等线" w:cs="Arial"/>
                <w:lang w:eastAsia="zh-CN"/>
              </w:rPr>
              <w:t xml:space="preserve">the different options among UP/CP and IP/Non-IP and the respective overall packet overhead (including </w:t>
            </w:r>
            <w:r>
              <w:rPr>
                <w:rFonts w:hint="eastAsia" w:ascii="Arial" w:hAnsi="Arial" w:eastAsia="等线" w:cs="Arial"/>
                <w:lang w:eastAsia="zh-CN"/>
              </w:rPr>
              <w:t>R</w:t>
            </w:r>
            <w:r>
              <w:rPr>
                <w:rFonts w:ascii="Arial" w:hAnsi="Arial" w:eastAsia="等线" w:cs="Arial"/>
                <w:lang w:eastAsia="zh-CN"/>
              </w:rPr>
              <w:t>TP/UDP/IP with RoHC, PDCP, RLC and MAC and any potential AS layer optimization if applicable), and if there is any preferred option, and</w:t>
            </w:r>
          </w:p>
          <w:p w14:paraId="73078CC1">
            <w:pPr>
              <w:pStyle w:val="109"/>
              <w:numPr>
                <w:ilvl w:val="0"/>
                <w:numId w:val="12"/>
              </w:numPr>
              <w:rPr>
                <w:rFonts w:hint="default" w:eastAsiaTheme="minorEastAsia"/>
                <w:b w:val="0"/>
                <w:bCs/>
                <w:u w:val="none"/>
                <w:vertAlign w:val="baseline"/>
                <w:lang w:val="en-US" w:eastAsia="zh-CN"/>
              </w:rPr>
            </w:pPr>
            <w:r>
              <w:rPr>
                <w:rFonts w:ascii="Arial" w:hAnsi="Arial" w:eastAsia="等线" w:cs="Arial"/>
                <w:lang w:eastAsia="zh-CN"/>
              </w:rPr>
              <w:t xml:space="preserve">specifically, whether a packet overhead of 1 byte of MAC header is realistic. </w:t>
            </w:r>
          </w:p>
        </w:tc>
      </w:tr>
    </w:tbl>
    <w:p w14:paraId="768BFB3C">
      <w:pPr>
        <w:pStyle w:val="60"/>
        <w:spacing w:after="0"/>
        <w:ind w:left="0" w:firstLine="0"/>
        <w:jc w:val="both"/>
        <w:rPr>
          <w:rFonts w:hint="default" w:eastAsiaTheme="minorEastAsia"/>
          <w:b w:val="0"/>
          <w:bCs/>
          <w:u w:val="none"/>
          <w:lang w:val="en-US" w:eastAsia="zh-CN"/>
        </w:rPr>
      </w:pPr>
      <w:r>
        <w:rPr>
          <w:rFonts w:hint="eastAsia" w:eastAsiaTheme="minorEastAsia"/>
          <w:b w:val="0"/>
          <w:bCs/>
          <w:u w:val="none"/>
          <w:lang w:val="en-US" w:eastAsia="zh-CN"/>
        </w:rPr>
        <w:t>From RAN2 perspective, the first bullet is related to SA2, and RAN</w:t>
      </w:r>
      <w:r>
        <w:rPr>
          <w:rFonts w:ascii="Arial" w:hAnsi="Arial" w:eastAsia="等线" w:cs="Arial"/>
        </w:rPr>
        <w:t xml:space="preserve">2 believes </w:t>
      </w:r>
      <w:r>
        <w:rPr>
          <w:rFonts w:hint="eastAsia" w:eastAsia="等线" w:cs="Arial"/>
          <w:lang w:val="en-US" w:eastAsia="zh-CN"/>
        </w:rPr>
        <w:t>SA</w:t>
      </w:r>
      <w:r>
        <w:rPr>
          <w:rFonts w:ascii="Arial" w:hAnsi="Arial" w:eastAsia="等线" w:cs="Arial"/>
        </w:rPr>
        <w:t>2</w:t>
      </w:r>
      <w:r>
        <w:rPr>
          <w:rFonts w:hint="eastAsia" w:eastAsia="等线" w:cs="Arial"/>
          <w:lang w:val="en-US" w:eastAsia="zh-CN"/>
        </w:rPr>
        <w:t xml:space="preserve"> would provide corresponding feedback. Then for second bullet, </w:t>
      </w:r>
      <w:r>
        <w:rPr>
          <w:rFonts w:ascii="Arial" w:hAnsi="Arial" w:eastAsia="等线" w:cs="Arial"/>
          <w:lang w:eastAsia="zh-CN"/>
        </w:rPr>
        <w:t>a packet overhead of 1 byte of MAC header</w:t>
      </w:r>
      <w:r>
        <w:rPr>
          <w:rFonts w:hint="eastAsia" w:eastAsia="等线" w:cs="Arial"/>
          <w:lang w:val="en-US" w:eastAsia="zh-CN"/>
        </w:rPr>
        <w:t xml:space="preserve"> </w:t>
      </w:r>
      <w:r>
        <w:rPr>
          <w:rFonts w:hint="eastAsia" w:eastAsiaTheme="minorEastAsia"/>
          <w:b w:val="0"/>
          <w:bCs/>
          <w:u w:val="none"/>
          <w:lang w:val="en-US" w:eastAsia="zh-CN"/>
        </w:rPr>
        <w:t>may be not realistic due to that 1 byte MAC subheader is only used for the last subheader in the MAC PDU and subheaders for fixed sized MAC control elements as mentioned in the TS 36.321.</w:t>
      </w:r>
      <w:bookmarkStart w:id="5" w:name="_GoBack"/>
      <w:bookmarkEnd w:id="5"/>
    </w:p>
    <w:p w14:paraId="23A7A602">
      <w:pPr>
        <w:pStyle w:val="60"/>
        <w:spacing w:after="0"/>
        <w:ind w:left="0" w:firstLine="0"/>
        <w:jc w:val="both"/>
        <w:rPr>
          <w:rFonts w:hint="default" w:eastAsiaTheme="minorEastAsia"/>
          <w:b w:val="0"/>
          <w:bCs/>
          <w:u w:val="none"/>
          <w:lang w:val="en-US" w:eastAsia="zh-CN"/>
        </w:rPr>
      </w:pPr>
      <w:r>
        <w:rPr>
          <w:rFonts w:hint="eastAsia" w:eastAsiaTheme="minorEastAsia"/>
          <w:b/>
          <w:bCs w:val="0"/>
          <w:u w:val="none"/>
          <w:lang w:val="en-US" w:eastAsia="zh-CN"/>
        </w:rPr>
        <w:t>Observation 1: A</w:t>
      </w:r>
      <w:r>
        <w:rPr>
          <w:rFonts w:ascii="Arial" w:hAnsi="Arial" w:eastAsia="等线" w:cs="Arial"/>
          <w:b/>
          <w:lang w:eastAsia="zh-CN"/>
        </w:rPr>
        <w:t xml:space="preserve"> packet overhead of 1 byte of MAC header</w:t>
      </w:r>
      <w:r>
        <w:rPr>
          <w:rFonts w:hint="eastAsia" w:eastAsia="等线" w:cs="Arial"/>
          <w:b/>
          <w:lang w:val="en-US" w:eastAsia="zh-CN"/>
        </w:rPr>
        <w:t xml:space="preserve"> </w:t>
      </w:r>
      <w:r>
        <w:rPr>
          <w:rFonts w:hint="eastAsia" w:eastAsiaTheme="minorEastAsia"/>
          <w:b/>
          <w:bCs w:val="0"/>
          <w:u w:val="none"/>
          <w:lang w:val="en-US" w:eastAsia="zh-CN"/>
        </w:rPr>
        <w:t>may be not realistic due to that 1 byte MAC subheader is only used for the last subheader in the MAC PDU and subheaders for fixed sized MAC control elements as mentioned in the TS 36.321.</w:t>
      </w:r>
    </w:p>
    <w:p w14:paraId="495BDA47">
      <w:pPr>
        <w:pStyle w:val="60"/>
        <w:spacing w:after="0"/>
        <w:ind w:left="0" w:firstLine="0"/>
        <w:rPr>
          <w:rFonts w:hint="eastAsia" w:eastAsiaTheme="minorEastAsia"/>
          <w:b w:val="0"/>
          <w:bCs/>
          <w:u w:val="none"/>
          <w:lang w:val="en-US" w:eastAsia="zh-CN"/>
        </w:rPr>
      </w:pPr>
    </w:p>
    <w:p w14:paraId="7FCC8F3F">
      <w:pPr>
        <w:pStyle w:val="60"/>
        <w:spacing w:after="0"/>
        <w:ind w:left="0" w:firstLine="0"/>
        <w:rPr>
          <w:rFonts w:hint="eastAsia" w:eastAsiaTheme="minorEastAsia"/>
          <w:b w:val="0"/>
          <w:bCs/>
          <w:u w:val="none"/>
          <w:lang w:val="en-US" w:eastAsia="zh-CN"/>
        </w:rPr>
      </w:pPr>
      <w:r>
        <w:rPr>
          <w:rFonts w:hint="eastAsia" w:eastAsiaTheme="minorEastAsia"/>
          <w:b w:val="0"/>
          <w:bCs/>
          <w:u w:val="none"/>
          <w:lang w:val="en-US" w:eastAsia="zh-CN"/>
        </w:rPr>
        <w:t>And in SA2 #170 meeting, they sent an LS [3] also including a series of questions, where the following questions are for RAN2:</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D422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7AD255C">
            <w:pPr>
              <w:rPr>
                <w:rFonts w:ascii="Arial" w:hAnsi="Arial" w:cs="Arial"/>
                <w:lang w:eastAsia="ko-KR"/>
              </w:rPr>
            </w:pPr>
            <w:r>
              <w:rPr>
                <w:rFonts w:ascii="Arial" w:hAnsi="Arial" w:cs="Arial"/>
                <w:b/>
                <w:bCs/>
                <w:lang w:eastAsia="ko-KR"/>
              </w:rPr>
              <w:t>Question 1 (To RAN2):</w:t>
            </w:r>
            <w:r>
              <w:rPr>
                <w:rFonts w:ascii="Arial" w:hAnsi="Arial" w:cs="Arial"/>
                <w:lang w:eastAsia="ko-KR"/>
              </w:rPr>
              <w:t xml:space="preserve"> Does RAN2 have any observation on how many consecutive packets lost or erroneously decompressed will trigger the RoHC state fall back at the compressor when using RoHC?</w:t>
            </w:r>
          </w:p>
          <w:p w14:paraId="196FA83C">
            <w:pPr>
              <w:jc w:val="both"/>
              <w:rPr>
                <w:rFonts w:ascii="Arial" w:hAnsi="Arial" w:cs="Arial"/>
              </w:rPr>
            </w:pPr>
            <w:r>
              <w:rPr>
                <w:rFonts w:ascii="Arial" w:hAnsi="Arial" w:cs="Arial"/>
                <w:b/>
                <w:bCs/>
              </w:rPr>
              <w:t>Question 3 (To RAN2):</w:t>
            </w:r>
            <w:r>
              <w:rPr>
                <w:rFonts w:ascii="Arial" w:hAnsi="Arial" w:cs="Arial"/>
              </w:rPr>
              <w:t xml:space="preserve"> Can RAN2 confirm whether scheduling methods for support of IMS voice over NB-IoT NTN can handle the voice packets of different sizes changing dynamically?</w:t>
            </w:r>
          </w:p>
          <w:p w14:paraId="622884EE">
            <w:pPr>
              <w:ind w:left="0"/>
              <w:rPr>
                <w:rFonts w:ascii="Arial" w:hAnsi="Arial" w:cs="Arial"/>
                <w:lang w:eastAsia="ko-KR"/>
              </w:rPr>
            </w:pPr>
            <w:r>
              <w:rPr>
                <w:rFonts w:ascii="Arial" w:hAnsi="Arial" w:cs="Arial"/>
                <w:b/>
                <w:bCs/>
                <w:lang w:eastAsia="ko-KR"/>
              </w:rPr>
              <w:t>Question 6 (To RAN2):</w:t>
            </w:r>
            <w:r>
              <w:rPr>
                <w:rFonts w:ascii="Arial" w:hAnsi="Arial" w:cs="Arial"/>
                <w:lang w:eastAsia="ko-KR"/>
              </w:rPr>
              <w:t xml:space="preserve"> Is it feasible to support </w:t>
            </w:r>
            <w:r>
              <w:rPr>
                <w:rFonts w:ascii="Arial" w:hAnsi="Arial" w:cs="Arial"/>
              </w:rPr>
              <w:t xml:space="preserve">more than 2 </w:t>
            </w:r>
            <w:r>
              <w:rPr>
                <w:rFonts w:hint="eastAsia" w:ascii="Arial" w:hAnsi="Arial" w:cs="Arial"/>
              </w:rPr>
              <w:t>DRBs</w:t>
            </w:r>
            <w:r>
              <w:rPr>
                <w:rFonts w:ascii="Arial" w:hAnsi="Arial" w:cs="Arial"/>
              </w:rPr>
              <w:t xml:space="preserve"> for a UE accessing NB-IoT in Rel-20</w:t>
            </w:r>
            <w:r>
              <w:rPr>
                <w:rFonts w:ascii="Arial" w:hAnsi="Arial" w:cs="Arial"/>
                <w:lang w:eastAsia="ko-KR"/>
              </w:rPr>
              <w:t xml:space="preserve">? </w:t>
            </w:r>
          </w:p>
          <w:p w14:paraId="0C2208C5">
            <w:pPr>
              <w:jc w:val="both"/>
              <w:rPr>
                <w:rFonts w:ascii="Arial" w:hAnsi="Arial" w:cs="Arial"/>
              </w:rPr>
            </w:pPr>
            <w:r>
              <w:rPr>
                <w:rFonts w:ascii="Arial" w:hAnsi="Arial" w:cs="Arial"/>
                <w:b/>
                <w:bCs/>
              </w:rPr>
              <w:t>Question 9 (To RAN2)</w:t>
            </w:r>
            <w:r>
              <w:rPr>
                <w:rFonts w:ascii="Arial" w:hAnsi="Arial" w:cs="Arial"/>
              </w:rPr>
              <w:t>: Can RAN2 provide feedback on whether it is possible to define a new SRB that will be used to carry voice media?</w:t>
            </w:r>
          </w:p>
          <w:p w14:paraId="7BDA2469">
            <w:pPr>
              <w:jc w:val="both"/>
              <w:rPr>
                <w:rFonts w:hint="default" w:ascii="Arial" w:hAnsi="Arial" w:eastAsia="宋体" w:cs="Arial"/>
                <w:lang w:val="en-US" w:eastAsia="zh-CN"/>
              </w:rPr>
            </w:pPr>
            <w:r>
              <w:rPr>
                <w:rFonts w:ascii="Arial" w:hAnsi="Arial" w:cs="Arial"/>
                <w:b/>
                <w:bCs/>
              </w:rPr>
              <w:t>Question 10 (To RAN2)</w:t>
            </w:r>
            <w:r>
              <w:rPr>
                <w:rFonts w:ascii="Arial" w:hAnsi="Arial" w:cs="Arial"/>
              </w:rPr>
              <w:t>: If the answer to the above question is yes, can RAN2 confirm whether such SRB(s) are defined, whether it is technically feasible to support and configure RLC UM for such SRB(s) for example: in NB-IoT deployments over GEO satellite, when SRBs are used to carry voice media?</w:t>
            </w:r>
          </w:p>
        </w:tc>
      </w:tr>
    </w:tbl>
    <w:p w14:paraId="53275310">
      <w:pPr>
        <w:pStyle w:val="60"/>
        <w:spacing w:after="0"/>
        <w:ind w:left="0" w:firstLine="0"/>
        <w:jc w:val="both"/>
        <w:rPr>
          <w:rFonts w:hint="eastAsia" w:eastAsiaTheme="minorEastAsia"/>
          <w:b w:val="0"/>
          <w:bCs/>
          <w:u w:val="none"/>
          <w:lang w:val="en-US" w:eastAsia="zh-CN"/>
        </w:rPr>
      </w:pPr>
      <w:r>
        <w:rPr>
          <w:rFonts w:hint="eastAsia" w:eastAsiaTheme="minorEastAsia"/>
          <w:b w:val="0"/>
          <w:bCs/>
          <w:u w:val="none"/>
          <w:lang w:val="en-US" w:eastAsia="zh-CN"/>
        </w:rPr>
        <w:t>Regarding the question in the SA2 LS, we could consider to provide the following response:</w:t>
      </w:r>
    </w:p>
    <w:p w14:paraId="70D05D51">
      <w:pPr>
        <w:pStyle w:val="60"/>
        <w:spacing w:after="0"/>
        <w:ind w:left="0" w:firstLine="0"/>
        <w:jc w:val="both"/>
        <w:rPr>
          <w:rFonts w:hint="eastAsia" w:eastAsia="宋体" w:cs="Arial"/>
          <w:lang w:val="en-US" w:eastAsia="zh-CN"/>
        </w:rPr>
      </w:pPr>
      <w:r>
        <w:rPr>
          <w:rFonts w:hint="eastAsia" w:eastAsiaTheme="minorEastAsia"/>
          <w:b w:val="0"/>
          <w:bCs/>
          <w:u w:val="none"/>
          <w:lang w:val="en-US" w:eastAsia="zh-CN"/>
        </w:rPr>
        <w:t xml:space="preserve">For Q1, it may be difficult for RAN2 to provide </w:t>
      </w:r>
      <w:r>
        <w:rPr>
          <w:rFonts w:ascii="Arial" w:hAnsi="Arial" w:cs="Arial"/>
          <w:lang w:eastAsia="ko-KR"/>
        </w:rPr>
        <w:t>observation on how many consecutive packets lost or erroneously decompressed will trigger the RoHC state fall back at the compressor when using RoHC</w:t>
      </w:r>
      <w:r>
        <w:rPr>
          <w:rFonts w:hint="eastAsia" w:eastAsia="宋体" w:cs="Arial"/>
          <w:lang w:val="en-US" w:eastAsia="zh-CN"/>
        </w:rPr>
        <w:t>.</w:t>
      </w:r>
    </w:p>
    <w:p w14:paraId="78C9C656">
      <w:pPr>
        <w:pStyle w:val="60"/>
        <w:spacing w:after="0"/>
        <w:ind w:left="0" w:firstLine="0"/>
        <w:jc w:val="both"/>
        <w:rPr>
          <w:rFonts w:hint="eastAsia" w:eastAsia="宋体" w:cs="Arial"/>
          <w:lang w:val="en-US" w:eastAsia="zh-CN"/>
        </w:rPr>
      </w:pPr>
      <w:r>
        <w:rPr>
          <w:rFonts w:hint="eastAsia" w:eastAsia="宋体" w:cs="Arial"/>
          <w:lang w:val="en-US" w:eastAsia="zh-CN"/>
        </w:rPr>
        <w:t xml:space="preserve">For Q3, from our perspective, RAN2 could discuss solutions to </w:t>
      </w:r>
      <w:r>
        <w:rPr>
          <w:rFonts w:ascii="Arial" w:hAnsi="Arial" w:cs="Arial"/>
        </w:rPr>
        <w:t>handle the voice packets of different sizes changing dynamically</w:t>
      </w:r>
      <w:r>
        <w:rPr>
          <w:rFonts w:hint="eastAsia" w:eastAsia="宋体" w:cs="Arial"/>
          <w:lang w:val="en-US" w:eastAsia="zh-CN"/>
        </w:rPr>
        <w:t>, for example, combination SPS mechanism and dynamically scheduling.</w:t>
      </w:r>
    </w:p>
    <w:p w14:paraId="49FCF9AB">
      <w:pPr>
        <w:pStyle w:val="60"/>
        <w:spacing w:after="0"/>
        <w:ind w:left="0" w:firstLine="0"/>
        <w:jc w:val="both"/>
        <w:rPr>
          <w:rFonts w:hint="eastAsia" w:eastAsia="宋体" w:cs="Arial"/>
          <w:lang w:val="en-US" w:eastAsia="zh-CN"/>
        </w:rPr>
      </w:pPr>
      <w:r>
        <w:rPr>
          <w:rFonts w:hint="eastAsia" w:eastAsia="宋体" w:cs="Arial"/>
          <w:lang w:val="en-US" w:eastAsia="zh-CN"/>
        </w:rPr>
        <w:t xml:space="preserve">For Q6, it is </w:t>
      </w:r>
      <w:r>
        <w:rPr>
          <w:rFonts w:ascii="Arial" w:hAnsi="Arial" w:cs="Arial"/>
          <w:lang w:eastAsia="ko-KR"/>
        </w:rPr>
        <w:t xml:space="preserve">feasible to support </w:t>
      </w:r>
      <w:r>
        <w:rPr>
          <w:rFonts w:ascii="Arial" w:hAnsi="Arial" w:cs="Arial"/>
        </w:rPr>
        <w:t xml:space="preserve">more than 2 </w:t>
      </w:r>
      <w:r>
        <w:rPr>
          <w:rFonts w:hint="eastAsia" w:ascii="Arial" w:hAnsi="Arial" w:cs="Arial"/>
        </w:rPr>
        <w:t>DRBs</w:t>
      </w:r>
      <w:r>
        <w:rPr>
          <w:rFonts w:ascii="Arial" w:hAnsi="Arial" w:cs="Arial"/>
        </w:rPr>
        <w:t xml:space="preserve"> for a UE accessing NB-IoT in Rel-20</w:t>
      </w:r>
      <w:r>
        <w:rPr>
          <w:rFonts w:hint="eastAsia" w:eastAsia="宋体" w:cs="Arial"/>
          <w:lang w:val="en-US" w:eastAsia="zh-CN"/>
        </w:rPr>
        <w:t xml:space="preserve">, however, the existing UP solution could already </w:t>
      </w:r>
      <w:r>
        <w:rPr>
          <w:rFonts w:hint="eastAsia" w:eastAsia="宋体"/>
          <w:lang w:val="en-US" w:eastAsia="zh-CN"/>
        </w:rPr>
        <w:t xml:space="preserve">maximum 2 DRBs based on UE capability, which may be sufficient to support </w:t>
      </w:r>
      <w:r>
        <w:rPr>
          <w:rFonts w:ascii="Arial" w:hAnsi="Arial" w:cs="Arial"/>
        </w:rPr>
        <w:t>IMS voice over NB-IoT NTN</w:t>
      </w:r>
      <w:r>
        <w:rPr>
          <w:rFonts w:hint="eastAsia" w:eastAsia="宋体" w:cs="Arial"/>
          <w:lang w:val="en-US" w:eastAsia="zh-CN"/>
        </w:rPr>
        <w:t>.</w:t>
      </w:r>
    </w:p>
    <w:p w14:paraId="24A88573">
      <w:pPr>
        <w:pStyle w:val="60"/>
        <w:spacing w:after="0"/>
        <w:ind w:left="0" w:firstLine="0"/>
        <w:jc w:val="both"/>
        <w:rPr>
          <w:rFonts w:hint="default" w:eastAsiaTheme="minorEastAsia"/>
          <w:b w:val="0"/>
          <w:bCs/>
          <w:u w:val="none"/>
          <w:lang w:val="en-US" w:eastAsia="zh-CN"/>
        </w:rPr>
      </w:pPr>
      <w:r>
        <w:rPr>
          <w:rFonts w:hint="eastAsia" w:eastAsia="宋体" w:cs="Arial"/>
          <w:lang w:val="en-US" w:eastAsia="zh-CN"/>
        </w:rPr>
        <w:t>For Q9 i</w:t>
      </w:r>
      <w:r>
        <w:rPr>
          <w:rFonts w:ascii="Arial" w:hAnsi="Arial" w:cs="Arial"/>
        </w:rPr>
        <w:t xml:space="preserve">t </w:t>
      </w:r>
      <w:r>
        <w:rPr>
          <w:rFonts w:hint="eastAsia" w:eastAsia="宋体" w:cs="Arial"/>
          <w:lang w:val="en-US" w:eastAsia="zh-CN"/>
        </w:rPr>
        <w:t xml:space="preserve">may be not </w:t>
      </w:r>
      <w:r>
        <w:rPr>
          <w:rFonts w:ascii="Arial" w:hAnsi="Arial" w:cs="Arial"/>
        </w:rPr>
        <w:t xml:space="preserve">possible to define </w:t>
      </w:r>
      <w:r>
        <w:rPr>
          <w:rFonts w:hint="eastAsia" w:eastAsia="宋体" w:cs="Arial"/>
          <w:lang w:val="en-US" w:eastAsia="zh-CN"/>
        </w:rPr>
        <w:t xml:space="preserve">such </w:t>
      </w:r>
      <w:r>
        <w:rPr>
          <w:rFonts w:ascii="Arial" w:hAnsi="Arial" w:cs="Arial"/>
        </w:rPr>
        <w:t>a new SRB</w:t>
      </w:r>
      <w:r>
        <w:rPr>
          <w:rFonts w:hint="eastAsia" w:eastAsia="宋体" w:cs="Arial"/>
          <w:lang w:val="en-US" w:eastAsia="zh-CN"/>
        </w:rPr>
        <w:t>, which would bring significant specification impact. Then there is no reply to Q10.</w:t>
      </w:r>
    </w:p>
    <w:p w14:paraId="1F01E581">
      <w:pPr>
        <w:pStyle w:val="60"/>
        <w:spacing w:after="0"/>
        <w:ind w:left="0" w:firstLine="0"/>
        <w:rPr>
          <w:rFonts w:hint="default" w:eastAsiaTheme="minorEastAsia"/>
          <w:b/>
          <w:bCs w:val="0"/>
          <w:u w:val="none"/>
          <w:lang w:val="en-US" w:eastAsia="zh-CN"/>
        </w:rPr>
      </w:pPr>
      <w:r>
        <w:rPr>
          <w:rFonts w:hint="eastAsia" w:eastAsiaTheme="minorEastAsia"/>
          <w:b/>
          <w:bCs w:val="0"/>
          <w:u w:val="none"/>
          <w:lang w:val="en-US" w:eastAsia="zh-CN"/>
        </w:rPr>
        <w:t>Proposal 1: For the response to SA4, RAN2 could provide the following reply based on the above discussion:</w:t>
      </w:r>
    </w:p>
    <w:p w14:paraId="1B10B2A9">
      <w:pPr>
        <w:pStyle w:val="60"/>
        <w:spacing w:after="0"/>
        <w:ind w:left="0" w:firstLine="567"/>
        <w:rPr>
          <w:rFonts w:hint="eastAsia" w:eastAsiaTheme="minorEastAsia"/>
          <w:b/>
          <w:bCs w:val="0"/>
          <w:u w:val="none"/>
          <w:lang w:val="en-US" w:eastAsia="zh-CN"/>
        </w:rPr>
      </w:pPr>
      <w:r>
        <w:rPr>
          <w:rFonts w:hint="eastAsia" w:eastAsiaTheme="minorEastAsia"/>
          <w:b/>
          <w:bCs w:val="0"/>
          <w:u w:val="none"/>
          <w:lang w:val="en-US" w:eastAsia="zh-CN"/>
        </w:rPr>
        <w:t>To SA4: A packet overhead of 1 byte of MAC header is not realistic.</w:t>
      </w:r>
    </w:p>
    <w:p w14:paraId="3596B3CD">
      <w:pPr>
        <w:pStyle w:val="60"/>
        <w:spacing w:after="0"/>
        <w:ind w:left="0" w:firstLine="567"/>
        <w:rPr>
          <w:rFonts w:hint="eastAsia" w:eastAsiaTheme="minorEastAsia"/>
          <w:b/>
          <w:bCs w:val="0"/>
          <w:u w:val="none"/>
          <w:lang w:val="en-US" w:eastAsia="zh-CN"/>
        </w:rPr>
      </w:pPr>
      <w:r>
        <w:rPr>
          <w:rFonts w:hint="eastAsia" w:eastAsiaTheme="minorEastAsia"/>
          <w:b/>
          <w:bCs w:val="0"/>
          <w:u w:val="none"/>
          <w:lang w:val="en-US" w:eastAsia="zh-CN"/>
        </w:rPr>
        <w:t>To SA2:</w:t>
      </w:r>
    </w:p>
    <w:p w14:paraId="512D6E32">
      <w:pPr>
        <w:pStyle w:val="60"/>
        <w:spacing w:after="0"/>
        <w:ind w:left="567" w:firstLine="567"/>
        <w:rPr>
          <w:rFonts w:hint="eastAsia" w:eastAsiaTheme="minorEastAsia"/>
          <w:b/>
          <w:bCs w:val="0"/>
          <w:u w:val="none"/>
          <w:lang w:val="en-US" w:eastAsia="zh-CN"/>
        </w:rPr>
      </w:pPr>
      <w:r>
        <w:rPr>
          <w:rFonts w:hint="eastAsia" w:eastAsiaTheme="minorEastAsia"/>
          <w:b/>
          <w:bCs w:val="0"/>
          <w:u w:val="none"/>
          <w:lang w:val="en-US" w:eastAsia="zh-CN"/>
        </w:rPr>
        <w:t>Reply to Q3: RAN2 could discuss solutions to handle the voice packets of different sizes changing dynamically.</w:t>
      </w:r>
    </w:p>
    <w:p w14:paraId="0030F8D5">
      <w:pPr>
        <w:pStyle w:val="60"/>
        <w:spacing w:after="0"/>
        <w:ind w:left="567" w:firstLine="567"/>
        <w:rPr>
          <w:rFonts w:hint="eastAsia" w:eastAsiaTheme="minorEastAsia"/>
          <w:b/>
          <w:bCs w:val="0"/>
          <w:u w:val="none"/>
          <w:lang w:val="en-US" w:eastAsia="zh-CN"/>
        </w:rPr>
      </w:pPr>
      <w:r>
        <w:rPr>
          <w:rFonts w:hint="eastAsia" w:eastAsiaTheme="minorEastAsia"/>
          <w:b/>
          <w:bCs w:val="0"/>
          <w:u w:val="none"/>
          <w:lang w:val="en-US" w:eastAsia="zh-CN"/>
        </w:rPr>
        <w:t>Reply to Q6: It is feasible to support more than 2 DRBs for a UE accessing NB-IoT in Rel-20, however, existing maximum 2 DRBs may be sufficient to support IMS voice over NB-IoT NTN.</w:t>
      </w:r>
    </w:p>
    <w:p w14:paraId="57FC9B38">
      <w:pPr>
        <w:pStyle w:val="60"/>
        <w:spacing w:after="0"/>
        <w:ind w:left="567" w:firstLine="567"/>
        <w:jc w:val="left"/>
        <w:rPr>
          <w:rFonts w:hint="default" w:eastAsiaTheme="minorEastAsia"/>
          <w:b/>
          <w:bCs w:val="0"/>
          <w:u w:val="single"/>
          <w:lang w:val="en-US" w:eastAsia="zh-CN"/>
        </w:rPr>
      </w:pPr>
      <w:r>
        <w:rPr>
          <w:rFonts w:hint="eastAsia" w:eastAsiaTheme="minorEastAsia"/>
          <w:b/>
          <w:bCs w:val="0"/>
          <w:u w:val="none"/>
          <w:lang w:val="en-US" w:eastAsia="zh-CN"/>
        </w:rPr>
        <w:t>Reply to Q9: It is not possible to define a new SRB used to carry voice media.</w:t>
      </w:r>
    </w:p>
    <w:p w14:paraId="31DA5CE9">
      <w:pPr>
        <w:pStyle w:val="60"/>
        <w:spacing w:after="0"/>
        <w:ind w:left="0" w:firstLine="0"/>
        <w:jc w:val="both"/>
        <w:rPr>
          <w:rFonts w:hint="default" w:eastAsiaTheme="minorEastAsia"/>
          <w:b/>
          <w:bCs w:val="0"/>
          <w:u w:val="single"/>
          <w:lang w:val="en-US" w:eastAsia="zh-CN"/>
        </w:rPr>
      </w:pPr>
    </w:p>
    <w:p w14:paraId="7DB54A02">
      <w:pPr>
        <w:pStyle w:val="60"/>
        <w:spacing w:after="0"/>
        <w:ind w:left="0" w:firstLine="0"/>
        <w:jc w:val="both"/>
        <w:rPr>
          <w:rFonts w:hint="default" w:eastAsiaTheme="minorEastAsia"/>
          <w:b w:val="0"/>
          <w:bCs/>
          <w:u w:val="none"/>
          <w:lang w:val="en-US" w:eastAsia="zh-CN"/>
        </w:rPr>
      </w:pPr>
      <w:r>
        <w:rPr>
          <w:rFonts w:hint="eastAsia" w:eastAsiaTheme="minorEastAsia"/>
          <w:b w:val="0"/>
          <w:bCs/>
          <w:u w:val="none"/>
          <w:lang w:val="en-US" w:eastAsia="zh-CN"/>
        </w:rPr>
        <w:t>And in the following we provide detail analysis for whether CP solution or UP solution is better from our perspective.</w:t>
      </w:r>
    </w:p>
    <w:p w14:paraId="4293B8AF">
      <w:pPr>
        <w:pStyle w:val="60"/>
        <w:spacing w:after="0"/>
        <w:ind w:left="0" w:firstLine="0"/>
        <w:jc w:val="both"/>
        <w:rPr>
          <w:rFonts w:hint="default" w:eastAsiaTheme="minorEastAsia"/>
          <w:b w:val="0"/>
          <w:bCs/>
          <w:lang w:val="en-US" w:eastAsia="zh-CN"/>
        </w:rPr>
      </w:pPr>
      <w:r>
        <w:rPr>
          <w:rFonts w:hint="eastAsia" w:eastAsiaTheme="minorEastAsia"/>
          <w:b w:val="0"/>
          <w:bCs/>
          <w:lang w:val="en-US" w:eastAsia="zh-CN"/>
        </w:rPr>
        <w:t>Per the SA2 discussion progress, they have already output TR 23700-19, which includes UP based solutions, CP based solutions and CP/UP combination solutions for support of IMS voice call over NB-IoT NTN via GEO satellite connecting to EPC. And they will determine a final solution before the normative work to align with RAN scope. For coordination, some analysis and discussion work are also needed from RAN perspective.</w:t>
      </w:r>
    </w:p>
    <w:p w14:paraId="79970727">
      <w:pPr>
        <w:pStyle w:val="60"/>
        <w:spacing w:after="0"/>
        <w:ind w:left="0" w:firstLine="0"/>
        <w:jc w:val="both"/>
        <w:rPr>
          <w:rFonts w:hint="eastAsia" w:eastAsiaTheme="minorEastAsia"/>
          <w:b w:val="0"/>
          <w:bCs/>
          <w:lang w:val="en-US" w:eastAsia="zh-CN"/>
        </w:rPr>
      </w:pPr>
      <w:r>
        <w:rPr>
          <w:rFonts w:hint="eastAsia" w:eastAsiaTheme="minorEastAsia"/>
          <w:b w:val="0"/>
          <w:bCs/>
          <w:lang w:val="en-US" w:eastAsia="zh-CN"/>
        </w:rPr>
        <w:t xml:space="preserve">As in the existing specification, for </w:t>
      </w:r>
      <w:r>
        <w:t>Control Plane CIoT EPS optimisation</w:t>
      </w:r>
      <w:r>
        <w:rPr>
          <w:rFonts w:hint="eastAsia" w:eastAsia="宋体"/>
          <w:lang w:val="en-US" w:eastAsia="zh-CN"/>
        </w:rPr>
        <w:t>, only SRB1bis could be used to transmit NAS message. To support voice over CP solution, maybe new RB</w:t>
      </w:r>
      <w:r>
        <w:rPr>
          <w:rFonts w:hint="eastAsia" w:eastAsiaTheme="minorEastAsia"/>
          <w:b w:val="0"/>
          <w:bCs/>
          <w:lang w:val="en-US" w:eastAsia="zh-CN"/>
        </w:rPr>
        <w:t xml:space="preserve"> is needed to be introduced to carry voice packets and RB handling behaviour needs to be further discussed subsequently. Further different from SRB1 and DRB, SRB1bis has no PDCP entity, which would also lead to security issue unexpected.</w:t>
      </w:r>
    </w:p>
    <w:p w14:paraId="51232CE3">
      <w:pPr>
        <w:pStyle w:val="60"/>
        <w:spacing w:after="0"/>
        <w:ind w:left="0" w:firstLine="0"/>
        <w:jc w:val="both"/>
        <w:rPr>
          <w:rFonts w:hint="eastAsia" w:eastAsiaTheme="minorEastAsia"/>
          <w:b w:val="0"/>
          <w:bCs/>
          <w:lang w:val="en-US" w:eastAsia="zh-CN"/>
        </w:rPr>
      </w:pPr>
      <w:r>
        <w:rPr>
          <w:rFonts w:hint="eastAsia" w:eastAsiaTheme="minorEastAsia"/>
          <w:b w:val="0"/>
          <w:bCs/>
          <w:lang w:val="en-US" w:eastAsia="zh-CN"/>
        </w:rPr>
        <w:t>Then for User</w:t>
      </w:r>
      <w:r>
        <w:t xml:space="preserve"> Plane CIoT EPS optimisation</w:t>
      </w:r>
      <w:r>
        <w:rPr>
          <w:rFonts w:hint="eastAsia" w:eastAsia="宋体"/>
          <w:lang w:val="en-US" w:eastAsia="zh-CN"/>
        </w:rPr>
        <w:t xml:space="preserve">, the maximum 2 DRBs is supported based on UE capability. If adopt UP solution, </w:t>
      </w:r>
      <w:r>
        <w:rPr>
          <w:rFonts w:hint="eastAsia" w:eastAsiaTheme="minorEastAsia"/>
          <w:b w:val="0"/>
          <w:bCs/>
          <w:lang w:val="en-US" w:eastAsia="zh-CN"/>
        </w:rPr>
        <w:t xml:space="preserve">legacy transmission solution based on DRB could be reused, and there is no security issue either. </w:t>
      </w:r>
    </w:p>
    <w:p w14:paraId="4F0B40AF">
      <w:pPr>
        <w:pStyle w:val="60"/>
        <w:spacing w:after="0"/>
        <w:ind w:left="0" w:firstLine="0"/>
        <w:jc w:val="both"/>
        <w:rPr>
          <w:rFonts w:hint="default" w:eastAsiaTheme="minorEastAsia"/>
          <w:b w:val="0"/>
          <w:bCs/>
          <w:lang w:val="en-US" w:eastAsia="zh-CN"/>
        </w:rPr>
      </w:pPr>
      <w:r>
        <w:rPr>
          <w:rFonts w:hint="eastAsia" w:eastAsiaTheme="minorEastAsia"/>
          <w:b w:val="0"/>
          <w:bCs/>
          <w:lang w:val="en-US" w:eastAsia="zh-CN"/>
        </w:rPr>
        <w:t xml:space="preserve">Besides, based on the description of rlc-Config in TS 36.331[5]: </w:t>
      </w:r>
      <w:r>
        <w:rPr>
          <w:rFonts w:hint="eastAsia" w:eastAsiaTheme="minorEastAsia"/>
          <w:b w:val="0"/>
          <w:bCs/>
          <w:i/>
          <w:iCs/>
          <w:lang w:val="en-US" w:eastAsia="zh-CN"/>
        </w:rPr>
        <w:t>RLC AM is the only applicable RLC mode for SRB1 and SRB2</w:t>
      </w:r>
      <w:r>
        <w:rPr>
          <w:rFonts w:hint="eastAsia" w:eastAsiaTheme="minorEastAsia"/>
          <w:b w:val="0"/>
          <w:bCs/>
          <w:lang w:val="en-US" w:eastAsia="zh-CN"/>
        </w:rPr>
        <w:t xml:space="preserve">, CP based solutions have to use RLC AM mode for IMS voice over GSO for NB-IoT-NTN even for the new SRB. However, due to the huge RTT delay of IoT NTN GEO scenario (around 500~600ms), RLC AM mode will have severe impact to </w:t>
      </w:r>
      <w:r>
        <w:rPr>
          <w:rFonts w:hint="eastAsia" w:eastAsiaTheme="minorEastAsia"/>
          <w:lang w:val="en-US" w:eastAsia="zh-CN"/>
        </w:rPr>
        <w:t>user experience</w:t>
      </w:r>
      <w:r>
        <w:rPr>
          <w:rFonts w:hint="eastAsia" w:eastAsiaTheme="minorEastAsia"/>
          <w:b w:val="0"/>
          <w:bCs/>
          <w:lang w:val="en-US" w:eastAsia="zh-CN"/>
        </w:rPr>
        <w:t xml:space="preserve"> due to ARQ and Status Report mechanisms. Otherwise, CP based solutions need to consider applying RLC UM mode for the new RB which may need further discussion in RAN2.</w:t>
      </w:r>
    </w:p>
    <w:p w14:paraId="60B3573A">
      <w:pPr>
        <w:pStyle w:val="60"/>
        <w:spacing w:after="0"/>
        <w:ind w:left="0" w:firstLine="0"/>
        <w:rPr>
          <w:rFonts w:hint="eastAsia" w:eastAsiaTheme="minorEastAsia"/>
          <w:b w:val="0"/>
          <w:bCs/>
          <w:lang w:val="en-US" w:eastAsia="zh-CN"/>
        </w:rPr>
      </w:pPr>
      <w:r>
        <w:rPr>
          <w:rFonts w:hint="eastAsia" w:eastAsiaTheme="minorEastAsia"/>
          <w:b w:val="0"/>
          <w:bCs/>
          <w:lang w:val="en-US" w:eastAsia="zh-CN"/>
        </w:rPr>
        <w:object>
          <v:shape id="_x0000_i1025" o:spt="75" type="#_x0000_t75" style="height:116.55pt;width:209.85pt;" o:ole="t" filled="f" o:preferrelative="t" stroked="f" coordsize="21600,21600">
            <v:path/>
            <v:fill on="f" focussize="0,0"/>
            <v:stroke on="f"/>
            <v:imagedata r:id="rId12" o:title=""/>
            <o:lock v:ext="edit" aspectratio="f"/>
            <w10:wrap type="none"/>
            <w10:anchorlock/>
          </v:shape>
          <o:OLEObject Type="Embed" ProgID="Visio.Drawing.11" ShapeID="_x0000_i1025" DrawAspect="Content" ObjectID="_1468075725" r:id="rId11">
            <o:LockedField>false</o:LockedField>
          </o:OLEObject>
        </w:object>
      </w:r>
      <w:r>
        <w:rPr>
          <w:rFonts w:hint="eastAsia" w:eastAsiaTheme="minorEastAsia"/>
          <w:b w:val="0"/>
          <w:bCs/>
          <w:lang w:val="en-US" w:eastAsia="zh-CN"/>
        </w:rPr>
        <w:t xml:space="preserve">     </w:t>
      </w:r>
      <w:r>
        <w:rPr>
          <w:rFonts w:hint="eastAsia" w:eastAsiaTheme="minorEastAsia"/>
          <w:b w:val="0"/>
          <w:bCs/>
          <w:lang w:val="en-US" w:eastAsia="zh-CN"/>
        </w:rPr>
        <w:object>
          <v:shape id="_x0000_i1026" o:spt="75" type="#_x0000_t75" style="height:121.2pt;width:192.45pt;" o:ole="t" filled="f" o:preferrelative="t" stroked="f" coordsize="21600,21600">
            <v:path/>
            <v:fill on="f" focussize="0,0"/>
            <v:stroke on="f"/>
            <v:imagedata r:id="rId14" o:title=""/>
            <o:lock v:ext="edit" aspectratio="f"/>
            <w10:wrap type="none"/>
            <w10:anchorlock/>
          </v:shape>
          <o:OLEObject Type="Embed" ProgID="Visio.Drawing.11" ShapeID="_x0000_i1026" DrawAspect="Content" ObjectID="_1468075726" r:id="rId13">
            <o:LockedField>false</o:LockedField>
          </o:OLEObject>
        </w:object>
      </w:r>
    </w:p>
    <w:p w14:paraId="5B75A44A">
      <w:pPr>
        <w:pStyle w:val="60"/>
        <w:spacing w:after="0"/>
        <w:ind w:left="0" w:firstLine="482" w:firstLineChars="300"/>
        <w:rPr>
          <w:rFonts w:hint="eastAsia" w:eastAsiaTheme="minorEastAsia"/>
          <w:b w:val="0"/>
          <w:bCs/>
          <w:lang w:val="en-US" w:eastAsia="zh-CN"/>
        </w:rPr>
      </w:pPr>
      <w:r>
        <w:rPr>
          <w:rFonts w:hint="eastAsia" w:eastAsia="宋体"/>
          <w:b/>
          <w:bCs/>
          <w:sz w:val="16"/>
          <w:szCs w:val="16"/>
          <w:lang w:val="en-US" w:eastAsia="zh-CN"/>
        </w:rPr>
        <w:t>Figure 1 P</w:t>
      </w:r>
      <w:r>
        <w:rPr>
          <w:b/>
          <w:bCs/>
          <w:sz w:val="16"/>
          <w:szCs w:val="16"/>
        </w:rPr>
        <w:t>rotocol stack</w:t>
      </w:r>
      <w:r>
        <w:rPr>
          <w:rFonts w:hint="eastAsia" w:eastAsia="宋体"/>
          <w:b/>
          <w:bCs/>
          <w:sz w:val="16"/>
          <w:szCs w:val="16"/>
          <w:lang w:val="en-US" w:eastAsia="zh-CN"/>
        </w:rPr>
        <w:t xml:space="preserve"> for CP solution                     Figure 2 P</w:t>
      </w:r>
      <w:r>
        <w:rPr>
          <w:b/>
          <w:bCs/>
          <w:sz w:val="16"/>
          <w:szCs w:val="16"/>
        </w:rPr>
        <w:t>rotocol stack</w:t>
      </w:r>
      <w:r>
        <w:rPr>
          <w:rFonts w:hint="eastAsia" w:eastAsia="宋体"/>
          <w:b/>
          <w:bCs/>
          <w:sz w:val="16"/>
          <w:szCs w:val="16"/>
          <w:lang w:val="en-US" w:eastAsia="zh-CN"/>
        </w:rPr>
        <w:t xml:space="preserve"> for UP solution</w:t>
      </w:r>
    </w:p>
    <w:p w14:paraId="2DF88032">
      <w:pPr>
        <w:pStyle w:val="60"/>
        <w:spacing w:after="0"/>
        <w:ind w:left="0" w:firstLine="0"/>
        <w:rPr>
          <w:rFonts w:hint="eastAsia" w:eastAsiaTheme="minorEastAsia"/>
          <w:b/>
          <w:bCs w:val="0"/>
          <w:lang w:val="en-US" w:eastAsia="zh-CN"/>
        </w:rPr>
      </w:pPr>
      <w:r>
        <w:rPr>
          <w:rFonts w:hint="eastAsia" w:eastAsiaTheme="minorEastAsia"/>
          <w:b/>
          <w:bCs w:val="0"/>
          <w:lang w:val="en-US" w:eastAsia="zh-CN"/>
        </w:rPr>
        <w:t>Observation 2: For CP solution, new RB is needed to be introduced to carry voice packets and RB handling behaviour needs to be further discussed subsequently.</w:t>
      </w:r>
    </w:p>
    <w:p w14:paraId="221C8699">
      <w:pPr>
        <w:pStyle w:val="60"/>
        <w:spacing w:after="0"/>
        <w:ind w:left="0" w:firstLine="0"/>
        <w:rPr>
          <w:rFonts w:hint="eastAsia" w:eastAsiaTheme="minorEastAsia"/>
          <w:b/>
          <w:bCs w:val="0"/>
          <w:lang w:val="en-US" w:eastAsia="zh-CN"/>
        </w:rPr>
      </w:pPr>
      <w:r>
        <w:rPr>
          <w:rFonts w:hint="eastAsia" w:eastAsiaTheme="minorEastAsia"/>
          <w:b/>
          <w:bCs w:val="0"/>
          <w:lang w:val="en-US" w:eastAsia="zh-CN"/>
        </w:rPr>
        <w:t>Observation 3: For CP solution, there may be security issue due to no PDCP entity.</w:t>
      </w:r>
    </w:p>
    <w:p w14:paraId="5C729B2C">
      <w:pPr>
        <w:pStyle w:val="60"/>
        <w:spacing w:after="0"/>
        <w:ind w:left="0" w:firstLine="0"/>
        <w:rPr>
          <w:rFonts w:hint="default" w:eastAsiaTheme="minorEastAsia"/>
          <w:b/>
          <w:bCs w:val="0"/>
          <w:lang w:val="en-US" w:eastAsia="zh-CN"/>
        </w:rPr>
      </w:pPr>
      <w:r>
        <w:rPr>
          <w:rFonts w:hint="eastAsia" w:eastAsiaTheme="minorEastAsia"/>
          <w:b/>
          <w:bCs w:val="0"/>
          <w:lang w:val="en-US" w:eastAsia="zh-CN"/>
        </w:rPr>
        <w:t>Observation 4: For CP solution, there may be RLC mode issue since AM mode is the only applicable RLC mode for SRBs.</w:t>
      </w:r>
    </w:p>
    <w:p w14:paraId="387B54E3">
      <w:pPr>
        <w:pStyle w:val="60"/>
        <w:spacing w:after="0"/>
        <w:ind w:left="0" w:firstLine="0"/>
        <w:rPr>
          <w:rFonts w:hint="eastAsia" w:eastAsiaTheme="minorEastAsia"/>
          <w:b/>
          <w:bCs w:val="0"/>
          <w:lang w:val="en-US" w:eastAsia="zh-CN"/>
        </w:rPr>
      </w:pPr>
    </w:p>
    <w:p w14:paraId="363FC6E1">
      <w:pPr>
        <w:pStyle w:val="60"/>
        <w:spacing w:after="0"/>
        <w:ind w:left="0" w:firstLine="0"/>
        <w:jc w:val="both"/>
        <w:rPr>
          <w:rFonts w:hint="default" w:eastAsiaTheme="minorEastAsia"/>
          <w:b w:val="0"/>
          <w:bCs/>
          <w:lang w:val="en-US" w:eastAsia="zh-CN"/>
        </w:rPr>
      </w:pPr>
      <w:r>
        <w:rPr>
          <w:rFonts w:hint="eastAsia" w:eastAsiaTheme="minorEastAsia"/>
          <w:b w:val="0"/>
          <w:bCs/>
          <w:lang w:val="en-US" w:eastAsia="zh-CN"/>
        </w:rPr>
        <w:t>And considering the packet size of voice service is fixed and the arrival interval meets certain rules of real-time services. Per the WID scope, SPS for voice packets transmission could be considered. And the existing UP solution already supports SPS for BSR, while CP solution does not support SPS entirely due to no RRC reconfiguration message. Therefore to support SPS for voice service, enhancements could be discussed based on legacy solution for UP solution while new mechanism needs to be considered for CP solution.</w:t>
      </w:r>
    </w:p>
    <w:p w14:paraId="117BF289">
      <w:pPr>
        <w:pStyle w:val="60"/>
        <w:spacing w:after="0"/>
        <w:ind w:left="0" w:firstLine="0"/>
        <w:jc w:val="both"/>
        <w:rPr>
          <w:rFonts w:hint="eastAsia" w:eastAsiaTheme="minorEastAsia"/>
          <w:b w:val="0"/>
          <w:bCs/>
          <w:lang w:val="en-US" w:eastAsia="zh-CN"/>
        </w:rPr>
      </w:pPr>
      <w:r>
        <w:rPr>
          <w:rFonts w:hint="eastAsia" w:eastAsiaTheme="minorEastAsia"/>
          <w:b w:val="0"/>
          <w:bCs/>
          <w:lang w:val="en-US" w:eastAsia="zh-CN"/>
        </w:rPr>
        <w:t>And we provide an example enhancement based on legacy SPS for UP solution, to resolve possible silence period during voice service, if the occurrence frequency of silence period is not so high, eNB could suspend the SPS resources for the UE, and schedule the subsequent silence period by dynamic scheduling, which could help to avoid the unnecessary occupation of radio resources during the SPS cycle, and once silent period return to the normal voice packets transmission/reception, continue to use the SPS resource.</w:t>
      </w:r>
    </w:p>
    <w:p w14:paraId="20F9F54C">
      <w:pPr>
        <w:pStyle w:val="60"/>
        <w:spacing w:after="0"/>
        <w:ind w:left="0" w:firstLine="0"/>
        <w:jc w:val="both"/>
        <w:rPr>
          <w:rFonts w:hint="eastAsia" w:eastAsiaTheme="minorEastAsia"/>
          <w:b w:val="0"/>
          <w:bCs/>
          <w:lang w:val="en-US" w:eastAsia="zh-CN"/>
        </w:rPr>
      </w:pPr>
      <w:r>
        <w:rPr>
          <w:rFonts w:hint="eastAsia" w:eastAsiaTheme="minorEastAsia"/>
          <w:b w:val="0"/>
          <w:bCs/>
          <w:lang w:val="en-US" w:eastAsia="zh-CN"/>
        </w:rPr>
        <w:t>It could be seen that UP solution has smaller specification impact compared to CP solution as mentioned above. Therefore, it is better to support UP solution for voice call over GEO.</w:t>
      </w:r>
    </w:p>
    <w:p w14:paraId="1B5B6B14">
      <w:pPr>
        <w:pStyle w:val="60"/>
        <w:spacing w:after="0"/>
        <w:ind w:left="0" w:firstLine="0"/>
        <w:rPr>
          <w:rFonts w:hint="eastAsia" w:eastAsiaTheme="minorEastAsia"/>
          <w:b/>
          <w:bCs w:val="0"/>
          <w:lang w:val="en-US" w:eastAsia="zh-CN"/>
        </w:rPr>
      </w:pPr>
      <w:r>
        <w:rPr>
          <w:rFonts w:hint="eastAsia" w:eastAsiaTheme="minorEastAsia"/>
          <w:b/>
          <w:bCs w:val="0"/>
          <w:lang w:val="en-US" w:eastAsia="zh-CN"/>
        </w:rPr>
        <w:t>Observation 5: To support SPS for voice service, enhancements could be discussed based legacy solution for UP solution while new mechanism needs to be considered for CP solution.</w:t>
      </w:r>
    </w:p>
    <w:p w14:paraId="0927098B">
      <w:pPr>
        <w:pStyle w:val="60"/>
        <w:spacing w:after="0"/>
        <w:ind w:left="0" w:firstLine="0"/>
        <w:rPr>
          <w:rFonts w:hint="default" w:eastAsiaTheme="minorEastAsia"/>
          <w:b/>
          <w:bCs w:val="0"/>
          <w:lang w:val="en-US" w:eastAsia="zh-CN"/>
        </w:rPr>
      </w:pPr>
      <w:r>
        <w:rPr>
          <w:rFonts w:hint="eastAsia" w:eastAsiaTheme="minorEastAsia"/>
          <w:b/>
          <w:bCs w:val="0"/>
          <w:u w:val="none"/>
          <w:lang w:val="en-US" w:eastAsia="zh-CN"/>
        </w:rPr>
        <w:t>Proposal 2: It is proposed to select UP solution to support IMS voice call over GSO.</w:t>
      </w:r>
    </w:p>
    <w:bookmarkEnd w:id="2"/>
    <w:p w14:paraId="31C27EB2">
      <w:pPr>
        <w:pStyle w:val="2"/>
        <w:rPr>
          <w:rFonts w:cs="Arial"/>
          <w:sz w:val="32"/>
          <w:szCs w:val="32"/>
        </w:rPr>
      </w:pPr>
      <w:r>
        <w:rPr>
          <w:rFonts w:cs="Arial"/>
          <w:sz w:val="32"/>
          <w:szCs w:val="32"/>
        </w:rPr>
        <w:t>Conclusion</w:t>
      </w:r>
    </w:p>
    <w:p w14:paraId="72D7C913">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on IMS voice call over GSO for NB-IoT-NTN</w:t>
      </w:r>
      <w:r>
        <w:rPr>
          <w:rFonts w:eastAsiaTheme="minorEastAsia"/>
          <w:sz w:val="20"/>
          <w:szCs w:val="20"/>
          <w:lang w:eastAsia="zh-CN"/>
        </w:rPr>
        <w:t xml:space="preserve"> </w:t>
      </w:r>
      <w:r>
        <w:rPr>
          <w:rFonts w:eastAsia="宋体" w:cs="Arial"/>
          <w:sz w:val="20"/>
          <w:szCs w:val="20"/>
        </w:rPr>
        <w:t xml:space="preserve">and have the following </w:t>
      </w:r>
      <w:r>
        <w:rPr>
          <w:rFonts w:hint="eastAsia" w:eastAsia="宋体" w:cs="Arial"/>
          <w:sz w:val="20"/>
          <w:szCs w:val="20"/>
          <w:lang w:val="en-US" w:eastAsia="zh-CN"/>
        </w:rPr>
        <w:t xml:space="preserve">observations and </w:t>
      </w:r>
      <w:r>
        <w:rPr>
          <w:rFonts w:eastAsia="宋体" w:cs="Arial"/>
          <w:sz w:val="20"/>
          <w:szCs w:val="20"/>
        </w:rPr>
        <w:t>proposals:</w:t>
      </w:r>
    </w:p>
    <w:p w14:paraId="066FB8ED">
      <w:pPr>
        <w:pStyle w:val="60"/>
        <w:spacing w:after="0"/>
        <w:ind w:left="0" w:firstLine="0"/>
        <w:rPr>
          <w:rFonts w:hint="default" w:eastAsiaTheme="minorEastAsia"/>
          <w:b w:val="0"/>
          <w:bCs/>
          <w:u w:val="none"/>
          <w:lang w:val="en-US" w:eastAsia="zh-CN"/>
        </w:rPr>
      </w:pPr>
      <w:r>
        <w:rPr>
          <w:rFonts w:hint="eastAsia" w:eastAsiaTheme="minorEastAsia"/>
          <w:b/>
          <w:bCs w:val="0"/>
          <w:u w:val="none"/>
          <w:lang w:val="en-US" w:eastAsia="zh-CN"/>
        </w:rPr>
        <w:t>Observation 1: A</w:t>
      </w:r>
      <w:r>
        <w:rPr>
          <w:rFonts w:ascii="Arial" w:hAnsi="Arial" w:eastAsia="等线" w:cs="Arial"/>
          <w:b/>
          <w:lang w:eastAsia="zh-CN"/>
        </w:rPr>
        <w:t xml:space="preserve"> packet overhead of 1 byte of MAC header</w:t>
      </w:r>
      <w:r>
        <w:rPr>
          <w:rFonts w:hint="eastAsia" w:eastAsia="等线" w:cs="Arial"/>
          <w:b/>
          <w:lang w:val="en-US" w:eastAsia="zh-CN"/>
        </w:rPr>
        <w:t xml:space="preserve"> </w:t>
      </w:r>
      <w:r>
        <w:rPr>
          <w:rFonts w:hint="eastAsia" w:eastAsiaTheme="minorEastAsia"/>
          <w:b/>
          <w:bCs w:val="0"/>
          <w:u w:val="none"/>
          <w:lang w:val="en-US" w:eastAsia="zh-CN"/>
        </w:rPr>
        <w:t>may be not realistic due to that 1 byte MAC subheader is only used for the last subheader in the MAC PDU and subheaders for fixed sized MAC control elements as mentioned in the TS 36.321.</w:t>
      </w:r>
    </w:p>
    <w:p w14:paraId="794D17F6">
      <w:pPr>
        <w:pStyle w:val="60"/>
        <w:spacing w:after="0"/>
        <w:ind w:left="0" w:firstLine="0"/>
        <w:rPr>
          <w:rFonts w:hint="default" w:eastAsiaTheme="minorEastAsia"/>
          <w:b/>
          <w:bCs w:val="0"/>
          <w:u w:val="none"/>
          <w:lang w:val="en-US" w:eastAsia="zh-CN"/>
        </w:rPr>
      </w:pPr>
      <w:r>
        <w:rPr>
          <w:rFonts w:hint="eastAsia" w:eastAsiaTheme="minorEastAsia"/>
          <w:b/>
          <w:bCs w:val="0"/>
          <w:u w:val="none"/>
          <w:lang w:val="en-US" w:eastAsia="zh-CN"/>
        </w:rPr>
        <w:t>Proposal 1: For the response to SA4, RAN2 could provide the following reply based on the above discussion:</w:t>
      </w:r>
    </w:p>
    <w:p w14:paraId="6AF058B9">
      <w:pPr>
        <w:pStyle w:val="60"/>
        <w:spacing w:after="0"/>
        <w:ind w:left="0" w:firstLine="567"/>
        <w:rPr>
          <w:rFonts w:hint="eastAsia" w:eastAsiaTheme="minorEastAsia"/>
          <w:b/>
          <w:bCs w:val="0"/>
          <w:u w:val="none"/>
          <w:lang w:val="en-US" w:eastAsia="zh-CN"/>
        </w:rPr>
      </w:pPr>
      <w:r>
        <w:rPr>
          <w:rFonts w:hint="eastAsia" w:eastAsiaTheme="minorEastAsia"/>
          <w:b/>
          <w:bCs w:val="0"/>
          <w:u w:val="none"/>
          <w:lang w:val="en-US" w:eastAsia="zh-CN"/>
        </w:rPr>
        <w:t>To SA4: A packet overhead of 1 byte of MAC header is not realistic.</w:t>
      </w:r>
    </w:p>
    <w:p w14:paraId="5CCE8D28">
      <w:pPr>
        <w:pStyle w:val="60"/>
        <w:spacing w:after="0"/>
        <w:ind w:left="0" w:firstLine="567"/>
        <w:rPr>
          <w:rFonts w:hint="eastAsia" w:eastAsiaTheme="minorEastAsia"/>
          <w:b/>
          <w:bCs w:val="0"/>
          <w:u w:val="none"/>
          <w:lang w:val="en-US" w:eastAsia="zh-CN"/>
        </w:rPr>
      </w:pPr>
      <w:r>
        <w:rPr>
          <w:rFonts w:hint="eastAsia" w:eastAsiaTheme="minorEastAsia"/>
          <w:b/>
          <w:bCs w:val="0"/>
          <w:u w:val="none"/>
          <w:lang w:val="en-US" w:eastAsia="zh-CN"/>
        </w:rPr>
        <w:t>To SA2:</w:t>
      </w:r>
    </w:p>
    <w:p w14:paraId="4F5ACDE7">
      <w:pPr>
        <w:pStyle w:val="60"/>
        <w:spacing w:after="0"/>
        <w:ind w:left="567" w:firstLine="567"/>
        <w:rPr>
          <w:rFonts w:hint="eastAsia" w:eastAsiaTheme="minorEastAsia"/>
          <w:b/>
          <w:bCs w:val="0"/>
          <w:u w:val="none"/>
          <w:lang w:val="en-US" w:eastAsia="zh-CN"/>
        </w:rPr>
      </w:pPr>
      <w:r>
        <w:rPr>
          <w:rFonts w:hint="eastAsia" w:eastAsiaTheme="minorEastAsia"/>
          <w:b/>
          <w:bCs w:val="0"/>
          <w:u w:val="none"/>
          <w:lang w:val="en-US" w:eastAsia="zh-CN"/>
        </w:rPr>
        <w:t>Reply to Q3: RAN2 could discuss solutions to handle the voice packets of different sizes changing dynamically.</w:t>
      </w:r>
    </w:p>
    <w:p w14:paraId="7F3BB330">
      <w:pPr>
        <w:pStyle w:val="60"/>
        <w:spacing w:after="0"/>
        <w:ind w:left="567" w:firstLine="567"/>
        <w:rPr>
          <w:rFonts w:hint="eastAsia" w:eastAsiaTheme="minorEastAsia"/>
          <w:b/>
          <w:bCs w:val="0"/>
          <w:u w:val="none"/>
          <w:lang w:val="en-US" w:eastAsia="zh-CN"/>
        </w:rPr>
      </w:pPr>
      <w:r>
        <w:rPr>
          <w:rFonts w:hint="eastAsia" w:eastAsiaTheme="minorEastAsia"/>
          <w:b/>
          <w:bCs w:val="0"/>
          <w:u w:val="none"/>
          <w:lang w:val="en-US" w:eastAsia="zh-CN"/>
        </w:rPr>
        <w:t>Reply to Q6: It is feasible to support more than 2 DRBs for a UE accessing NB-IoT in Rel-20, however, existing maximum 2 DRBs may be sufficient to support IMS voice over NB-IoT NTN.</w:t>
      </w:r>
    </w:p>
    <w:p w14:paraId="5D1922D2">
      <w:pPr>
        <w:pStyle w:val="60"/>
        <w:spacing w:after="0"/>
        <w:ind w:left="567" w:firstLine="567"/>
        <w:jc w:val="left"/>
        <w:rPr>
          <w:rFonts w:hint="default" w:eastAsiaTheme="minorEastAsia"/>
          <w:b/>
          <w:bCs w:val="0"/>
          <w:u w:val="single"/>
          <w:lang w:val="en-US" w:eastAsia="zh-CN"/>
        </w:rPr>
      </w:pPr>
      <w:r>
        <w:rPr>
          <w:rFonts w:hint="eastAsia" w:eastAsiaTheme="minorEastAsia"/>
          <w:b/>
          <w:bCs w:val="0"/>
          <w:u w:val="none"/>
          <w:lang w:val="en-US" w:eastAsia="zh-CN"/>
        </w:rPr>
        <w:t>Reply to Q9: It is not possible to define a new SRB used to carry voice media.</w:t>
      </w:r>
    </w:p>
    <w:p w14:paraId="6D30B870">
      <w:pPr>
        <w:pStyle w:val="60"/>
        <w:spacing w:after="0"/>
        <w:ind w:left="0" w:firstLine="0"/>
        <w:rPr>
          <w:rFonts w:hint="eastAsia" w:eastAsiaTheme="minorEastAsia"/>
          <w:b/>
          <w:bCs w:val="0"/>
          <w:lang w:val="en-US" w:eastAsia="zh-CN"/>
        </w:rPr>
      </w:pPr>
      <w:r>
        <w:rPr>
          <w:rFonts w:hint="eastAsia" w:eastAsiaTheme="minorEastAsia"/>
          <w:b/>
          <w:bCs w:val="0"/>
          <w:lang w:val="en-US" w:eastAsia="zh-CN"/>
        </w:rPr>
        <w:t>Observation 2: For CP solution, new RB is needed to be introduced to carry voice packets and RB handling behaviour needs to be further discussed subsequently.</w:t>
      </w:r>
    </w:p>
    <w:p w14:paraId="1F4FFA69">
      <w:pPr>
        <w:pStyle w:val="60"/>
        <w:spacing w:after="0"/>
        <w:ind w:left="0" w:firstLine="0"/>
        <w:rPr>
          <w:rFonts w:hint="eastAsia" w:eastAsiaTheme="minorEastAsia"/>
          <w:b/>
          <w:bCs w:val="0"/>
          <w:lang w:val="en-US" w:eastAsia="zh-CN"/>
        </w:rPr>
      </w:pPr>
      <w:r>
        <w:rPr>
          <w:rFonts w:hint="eastAsia" w:eastAsiaTheme="minorEastAsia"/>
          <w:b/>
          <w:bCs w:val="0"/>
          <w:lang w:val="en-US" w:eastAsia="zh-CN"/>
        </w:rPr>
        <w:t>Observation 3: For CP solution, there may be security issue due to no PDCP entity.</w:t>
      </w:r>
    </w:p>
    <w:p w14:paraId="461C9177">
      <w:pPr>
        <w:pStyle w:val="60"/>
        <w:spacing w:after="0"/>
        <w:ind w:left="0" w:firstLine="0"/>
        <w:rPr>
          <w:rFonts w:hint="default" w:eastAsiaTheme="minorEastAsia"/>
          <w:b/>
          <w:bCs w:val="0"/>
          <w:lang w:val="en-US" w:eastAsia="zh-CN"/>
        </w:rPr>
      </w:pPr>
      <w:r>
        <w:rPr>
          <w:rFonts w:hint="eastAsia" w:eastAsiaTheme="minorEastAsia"/>
          <w:b/>
          <w:bCs w:val="0"/>
          <w:lang w:val="en-US" w:eastAsia="zh-CN"/>
        </w:rPr>
        <w:t>Observation 4: For CP solution, there may be RLC mode issue since AM mode is the only applicable RLC mode for SRBs.</w:t>
      </w:r>
    </w:p>
    <w:p w14:paraId="15B5128D">
      <w:pPr>
        <w:pStyle w:val="60"/>
        <w:spacing w:after="0"/>
        <w:ind w:left="0" w:firstLine="0"/>
        <w:rPr>
          <w:rFonts w:hint="eastAsia" w:eastAsiaTheme="minorEastAsia"/>
          <w:b/>
          <w:bCs w:val="0"/>
          <w:lang w:val="en-US" w:eastAsia="zh-CN"/>
        </w:rPr>
      </w:pPr>
      <w:r>
        <w:rPr>
          <w:rFonts w:hint="eastAsia" w:eastAsiaTheme="minorEastAsia"/>
          <w:b/>
          <w:bCs w:val="0"/>
          <w:lang w:val="en-US" w:eastAsia="zh-CN"/>
        </w:rPr>
        <w:t>Observation 5: To support SPS for voice service, enhancements could be discussed based legacy solution for UP solution while new mechanism needs to be considered for CP solution.</w:t>
      </w:r>
    </w:p>
    <w:p w14:paraId="212319F8">
      <w:pPr>
        <w:pStyle w:val="60"/>
        <w:spacing w:after="0"/>
        <w:ind w:left="0" w:firstLine="0"/>
        <w:rPr>
          <w:rFonts w:hint="default" w:eastAsiaTheme="minorEastAsia"/>
          <w:b/>
          <w:bCs w:val="0"/>
          <w:lang w:val="en-US" w:eastAsia="zh-CN"/>
        </w:rPr>
      </w:pPr>
      <w:r>
        <w:rPr>
          <w:rFonts w:hint="eastAsia" w:eastAsiaTheme="minorEastAsia"/>
          <w:b/>
          <w:bCs w:val="0"/>
          <w:u w:val="none"/>
          <w:lang w:val="en-US" w:eastAsia="zh-CN"/>
        </w:rPr>
        <w:t>Proposal 2: It is proposed to select UP solution to support IMS voice call over GSO.</w:t>
      </w:r>
    </w:p>
    <w:p w14:paraId="49A85C91">
      <w:pPr>
        <w:pStyle w:val="2"/>
        <w:rPr>
          <w:rFonts w:cs="Arial"/>
          <w:sz w:val="32"/>
          <w:szCs w:val="32"/>
        </w:rPr>
      </w:pPr>
      <w:r>
        <w:rPr>
          <w:rFonts w:cs="Arial"/>
          <w:sz w:val="32"/>
          <w:szCs w:val="32"/>
        </w:rPr>
        <w:t>Reference</w:t>
      </w:r>
    </w:p>
    <w:p w14:paraId="26AAD30B">
      <w:pPr>
        <w:pStyle w:val="29"/>
        <w:numPr>
          <w:ilvl w:val="0"/>
          <w:numId w:val="13"/>
        </w:numPr>
        <w:overflowPunct/>
        <w:autoSpaceDE/>
        <w:autoSpaceDN/>
        <w:adjustRightInd/>
        <w:spacing w:beforeLines="50" w:after="0"/>
        <w:jc w:val="left"/>
        <w:textAlignment w:val="auto"/>
        <w:rPr>
          <w:rFonts w:hint="eastAsia"/>
          <w:sz w:val="20"/>
          <w:szCs w:val="20"/>
        </w:rPr>
      </w:pPr>
      <w:bookmarkStart w:id="3" w:name="_In-sequence_SDU_delivery"/>
      <w:bookmarkEnd w:id="3"/>
      <w:r>
        <w:rPr>
          <w:rFonts w:hint="eastAsia"/>
          <w:sz w:val="20"/>
          <w:szCs w:val="20"/>
        </w:rPr>
        <w:t>RP-251867</w:t>
      </w:r>
      <w:r>
        <w:rPr>
          <w:rFonts w:hint="eastAsia" w:eastAsia="宋体"/>
          <w:sz w:val="20"/>
          <w:szCs w:val="20"/>
          <w:lang w:val="en-US" w:eastAsia="zh-CN"/>
        </w:rPr>
        <w:t xml:space="preserve"> New WI: Non-Terrestrial Networks (NTN) for Internet of Things (IoT) Phase 4</w:t>
      </w:r>
    </w:p>
    <w:p w14:paraId="31B6D5EB">
      <w:pPr>
        <w:pStyle w:val="29"/>
        <w:numPr>
          <w:ilvl w:val="0"/>
          <w:numId w:val="13"/>
        </w:numPr>
        <w:overflowPunct/>
        <w:autoSpaceDE/>
        <w:autoSpaceDN/>
        <w:adjustRightInd/>
        <w:spacing w:beforeLines="50" w:after="0"/>
        <w:jc w:val="left"/>
        <w:textAlignment w:val="auto"/>
        <w:rPr>
          <w:rFonts w:hint="eastAsia"/>
          <w:sz w:val="20"/>
          <w:szCs w:val="20"/>
        </w:rPr>
      </w:pPr>
      <w:r>
        <w:rPr>
          <w:bCs/>
          <w:lang w:val="pt-BR"/>
        </w:rPr>
        <w:t>S4-251584</w:t>
      </w:r>
      <w:r>
        <w:rPr>
          <w:rFonts w:hint="eastAsia" w:eastAsia="宋体"/>
          <w:bCs/>
          <w:lang w:val="en-US" w:eastAsia="zh-CN"/>
        </w:rPr>
        <w:t xml:space="preserve"> </w:t>
      </w:r>
      <w:r>
        <w:t>LS on the RAN simulation assumptions for ULBC</w:t>
      </w:r>
    </w:p>
    <w:p w14:paraId="027BB2E3">
      <w:pPr>
        <w:pStyle w:val="29"/>
        <w:numPr>
          <w:ilvl w:val="0"/>
          <w:numId w:val="13"/>
        </w:numPr>
        <w:overflowPunct/>
        <w:autoSpaceDE/>
        <w:autoSpaceDN/>
        <w:adjustRightInd/>
        <w:spacing w:beforeLines="50" w:after="0"/>
        <w:jc w:val="left"/>
        <w:textAlignment w:val="auto"/>
        <w:rPr>
          <w:rFonts w:hint="eastAsia"/>
          <w:sz w:val="20"/>
          <w:szCs w:val="20"/>
        </w:rPr>
      </w:pPr>
      <w:r>
        <w:rPr>
          <w:rFonts w:hint="eastAsia"/>
          <w:sz w:val="20"/>
          <w:szCs w:val="20"/>
        </w:rPr>
        <w:t>S2-2507636</w:t>
      </w:r>
      <w:r>
        <w:rPr>
          <w:rFonts w:hint="eastAsia" w:eastAsia="宋体"/>
          <w:sz w:val="20"/>
          <w:szCs w:val="20"/>
          <w:lang w:val="en-US" w:eastAsia="zh-CN"/>
        </w:rPr>
        <w:t xml:space="preserve"> </w:t>
      </w:r>
      <w:r>
        <w:rPr>
          <w:color w:val="0D0D0D"/>
        </w:rPr>
        <w:t>LS on issues related to support of IMS voice over NB-IoT NTN connected to EPC</w:t>
      </w:r>
    </w:p>
    <w:p w14:paraId="52D3480D">
      <w:pPr>
        <w:pStyle w:val="29"/>
        <w:numPr>
          <w:ilvl w:val="0"/>
          <w:numId w:val="13"/>
        </w:numPr>
        <w:overflowPunct/>
        <w:autoSpaceDE/>
        <w:autoSpaceDN/>
        <w:adjustRightInd/>
        <w:spacing w:beforeLines="50" w:after="0"/>
        <w:jc w:val="left"/>
        <w:textAlignment w:val="auto"/>
        <w:rPr>
          <w:rFonts w:hint="eastAsia"/>
          <w:sz w:val="20"/>
          <w:szCs w:val="20"/>
        </w:rPr>
      </w:pPr>
      <w:r>
        <w:rPr>
          <w:rFonts w:hint="eastAsia"/>
          <w:sz w:val="20"/>
          <w:szCs w:val="20"/>
        </w:rPr>
        <w:t xml:space="preserve">3GPP TR 23.700-19 </w:t>
      </w:r>
      <w:r>
        <w:t>V</w:t>
      </w:r>
      <w:bookmarkStart w:id="4" w:name="specVersion"/>
      <w:r>
        <w:rPr>
          <w:lang w:eastAsia="zh-CN"/>
        </w:rPr>
        <w:t>1</w:t>
      </w:r>
      <w:r>
        <w:t>.</w:t>
      </w:r>
      <w:r>
        <w:rPr>
          <w:lang w:eastAsia="zh-CN"/>
        </w:rPr>
        <w:t>0</w:t>
      </w:r>
      <w:r>
        <w:t>.</w:t>
      </w:r>
      <w:bookmarkEnd w:id="4"/>
      <w:r>
        <w:t>0</w:t>
      </w:r>
      <w:r>
        <w:rPr>
          <w:rFonts w:hint="eastAsia" w:eastAsia="宋体"/>
          <w:sz w:val="20"/>
          <w:szCs w:val="20"/>
          <w:lang w:val="en-US" w:eastAsia="zh-CN"/>
        </w:rPr>
        <w:t xml:space="preserve"> Study on Integration of satellite components in the 5G architecture; Phase 4 (Release 20)</w:t>
      </w:r>
    </w:p>
    <w:p w14:paraId="7A65400F">
      <w:pPr>
        <w:pStyle w:val="29"/>
        <w:numPr>
          <w:ilvl w:val="0"/>
          <w:numId w:val="13"/>
        </w:numPr>
        <w:overflowPunct/>
        <w:autoSpaceDE/>
        <w:autoSpaceDN/>
        <w:adjustRightInd/>
        <w:spacing w:beforeLines="50" w:after="0"/>
        <w:jc w:val="left"/>
        <w:textAlignment w:val="auto"/>
        <w:rPr>
          <w:rFonts w:hint="eastAsia"/>
          <w:sz w:val="20"/>
          <w:szCs w:val="20"/>
        </w:rPr>
      </w:pPr>
      <w:r>
        <w:rPr>
          <w:rFonts w:hint="eastAsia"/>
          <w:sz w:val="20"/>
          <w:szCs w:val="20"/>
        </w:rPr>
        <w:t>3GPP TS 36.331 V18.0.0</w:t>
      </w:r>
      <w:r>
        <w:rPr>
          <w:rFonts w:hint="eastAsia" w:eastAsia="宋体"/>
          <w:sz w:val="20"/>
          <w:szCs w:val="20"/>
          <w:lang w:val="en-US" w:eastAsia="zh-CN"/>
        </w:rPr>
        <w:t xml:space="preserve"> Evolved Universal Terrestrial Radio Access (E-UTRA); Radio Resource Control (RRC); Protocol specification (Release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A72AE">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4</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0B0F9">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EA4C0">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01C8C">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90169">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D5166">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1">
    <w:nsid w:val="13EA3AC5"/>
    <w:multiLevelType w:val="multilevel"/>
    <w:tmpl w:val="13EA3AC5"/>
    <w:lvl w:ilvl="0" w:tentative="0">
      <w:start w:val="2"/>
      <w:numFmt w:val="bullet"/>
      <w:lvlText w:val="-"/>
      <w:lvlJc w:val="left"/>
      <w:pPr>
        <w:ind w:left="720" w:hanging="360"/>
      </w:pPr>
      <w:rPr>
        <w:rFonts w:hint="default" w:ascii="Arial" w:hAnsi="Arial" w:eastAsia="等线"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8176839"/>
    <w:multiLevelType w:val="singleLevel"/>
    <w:tmpl w:val="38176839"/>
    <w:lvl w:ilvl="0" w:tentative="0">
      <w:start w:val="1"/>
      <w:numFmt w:val="decimal"/>
      <w:suff w:val="space"/>
      <w:lvlText w:val="[%1]"/>
      <w:lvlJc w:val="left"/>
    </w:lvl>
  </w:abstractNum>
  <w:abstractNum w:abstractNumId="5">
    <w:nsid w:val="38BE22FD"/>
    <w:multiLevelType w:val="multilevel"/>
    <w:tmpl w:val="38BE22FD"/>
    <w:lvl w:ilvl="0" w:tentative="0">
      <w:start w:val="1"/>
      <w:numFmt w:val="bullet"/>
      <w:lvlText w:val="-"/>
      <w:lvlJc w:val="left"/>
      <w:pPr>
        <w:tabs>
          <w:tab w:val="left" w:pos="720"/>
        </w:tabs>
        <w:ind w:left="720" w:hanging="360"/>
      </w:pPr>
      <w:rPr>
        <w:rFonts w:hint="default" w:ascii="宋体" w:hAnsi="宋体"/>
      </w:rPr>
    </w:lvl>
    <w:lvl w:ilvl="1" w:tentative="0">
      <w:start w:val="1"/>
      <w:numFmt w:val="bullet"/>
      <w:lvlText w:val="-"/>
      <w:lvlJc w:val="left"/>
      <w:pPr>
        <w:tabs>
          <w:tab w:val="left" w:pos="1440"/>
        </w:tabs>
        <w:ind w:left="1440" w:hanging="360"/>
      </w:pPr>
      <w:rPr>
        <w:rFonts w:hint="default" w:ascii="宋体" w:hAnsi="宋体"/>
      </w:rPr>
    </w:lvl>
    <w:lvl w:ilvl="2" w:tentative="0">
      <w:start w:val="1"/>
      <w:numFmt w:val="bullet"/>
      <w:lvlText w:val="-"/>
      <w:lvlJc w:val="left"/>
      <w:pPr>
        <w:tabs>
          <w:tab w:val="left" w:pos="2160"/>
        </w:tabs>
        <w:ind w:left="2160" w:hanging="360"/>
      </w:pPr>
      <w:rPr>
        <w:rFonts w:hint="default" w:ascii="宋体" w:hAnsi="宋体"/>
      </w:rPr>
    </w:lvl>
    <w:lvl w:ilvl="3" w:tentative="0">
      <w:start w:val="1"/>
      <w:numFmt w:val="bullet"/>
      <w:lvlText w:val="-"/>
      <w:lvlJc w:val="left"/>
      <w:pPr>
        <w:tabs>
          <w:tab w:val="left" w:pos="2880"/>
        </w:tabs>
        <w:ind w:left="2880" w:hanging="360"/>
      </w:pPr>
      <w:rPr>
        <w:rFonts w:hint="default" w:ascii="宋体" w:hAnsi="宋体"/>
      </w:rPr>
    </w:lvl>
    <w:lvl w:ilvl="4" w:tentative="0">
      <w:start w:val="1"/>
      <w:numFmt w:val="bullet"/>
      <w:lvlText w:val="-"/>
      <w:lvlJc w:val="left"/>
      <w:pPr>
        <w:tabs>
          <w:tab w:val="left" w:pos="3600"/>
        </w:tabs>
        <w:ind w:left="3600" w:hanging="360"/>
      </w:pPr>
      <w:rPr>
        <w:rFonts w:hint="default" w:ascii="宋体" w:hAnsi="宋体"/>
      </w:rPr>
    </w:lvl>
    <w:lvl w:ilvl="5" w:tentative="0">
      <w:start w:val="1"/>
      <w:numFmt w:val="bullet"/>
      <w:lvlText w:val="-"/>
      <w:lvlJc w:val="left"/>
      <w:pPr>
        <w:tabs>
          <w:tab w:val="left" w:pos="4320"/>
        </w:tabs>
        <w:ind w:left="4320" w:hanging="360"/>
      </w:pPr>
      <w:rPr>
        <w:rFonts w:hint="default" w:ascii="宋体" w:hAnsi="宋体"/>
      </w:rPr>
    </w:lvl>
    <w:lvl w:ilvl="6" w:tentative="0">
      <w:start w:val="1"/>
      <w:numFmt w:val="bullet"/>
      <w:lvlText w:val="-"/>
      <w:lvlJc w:val="left"/>
      <w:pPr>
        <w:tabs>
          <w:tab w:val="left" w:pos="5040"/>
        </w:tabs>
        <w:ind w:left="5040" w:hanging="360"/>
      </w:pPr>
      <w:rPr>
        <w:rFonts w:hint="default" w:ascii="宋体" w:hAnsi="宋体"/>
      </w:rPr>
    </w:lvl>
    <w:lvl w:ilvl="7" w:tentative="0">
      <w:start w:val="1"/>
      <w:numFmt w:val="bullet"/>
      <w:lvlText w:val="-"/>
      <w:lvlJc w:val="left"/>
      <w:pPr>
        <w:tabs>
          <w:tab w:val="left" w:pos="5760"/>
        </w:tabs>
        <w:ind w:left="5760" w:hanging="360"/>
      </w:pPr>
      <w:rPr>
        <w:rFonts w:hint="default" w:ascii="宋体" w:hAnsi="宋体"/>
      </w:rPr>
    </w:lvl>
    <w:lvl w:ilvl="8" w:tentative="0">
      <w:start w:val="1"/>
      <w:numFmt w:val="bullet"/>
      <w:lvlText w:val="-"/>
      <w:lvlJc w:val="left"/>
      <w:pPr>
        <w:tabs>
          <w:tab w:val="left" w:pos="6480"/>
        </w:tabs>
        <w:ind w:left="6480" w:hanging="360"/>
      </w:pPr>
      <w:rPr>
        <w:rFonts w:hint="default" w:ascii="宋体" w:hAnsi="宋体"/>
      </w:rPr>
    </w:lvl>
  </w:abstractNum>
  <w:abstractNum w:abstractNumId="6">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8">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11"/>
  </w:num>
  <w:num w:numId="4">
    <w:abstractNumId w:val="8"/>
  </w:num>
  <w:num w:numId="5">
    <w:abstractNumId w:val="2"/>
  </w:num>
  <w:num w:numId="6">
    <w:abstractNumId w:val="7"/>
  </w:num>
  <w:num w:numId="7">
    <w:abstractNumId w:val="9"/>
  </w:num>
  <w:num w:numId="8">
    <w:abstractNumId w:val="6"/>
  </w:num>
  <w:num w:numId="9">
    <w:abstractNumId w:val="10"/>
  </w:num>
  <w:num w:numId="10">
    <w:abstractNumId w:val="12"/>
  </w:num>
  <w:num w:numId="11">
    <w:abstractNumId w:val="5"/>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2C0C"/>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3EF"/>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3901"/>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9A10AD"/>
    <w:rsid w:val="01B06F0E"/>
    <w:rsid w:val="022F4B03"/>
    <w:rsid w:val="02477231"/>
    <w:rsid w:val="02744528"/>
    <w:rsid w:val="02C450C1"/>
    <w:rsid w:val="02CC0A1F"/>
    <w:rsid w:val="031025DB"/>
    <w:rsid w:val="03686734"/>
    <w:rsid w:val="03A11802"/>
    <w:rsid w:val="03C80967"/>
    <w:rsid w:val="03C851FB"/>
    <w:rsid w:val="03F47F88"/>
    <w:rsid w:val="040F04F5"/>
    <w:rsid w:val="048A5003"/>
    <w:rsid w:val="04A95C75"/>
    <w:rsid w:val="04B403C6"/>
    <w:rsid w:val="04BC080F"/>
    <w:rsid w:val="04CE4A8B"/>
    <w:rsid w:val="04F50E2F"/>
    <w:rsid w:val="05087A2C"/>
    <w:rsid w:val="05232856"/>
    <w:rsid w:val="05606A49"/>
    <w:rsid w:val="057A6D20"/>
    <w:rsid w:val="05983EBC"/>
    <w:rsid w:val="061D7654"/>
    <w:rsid w:val="06261BBF"/>
    <w:rsid w:val="0654248D"/>
    <w:rsid w:val="06565EAE"/>
    <w:rsid w:val="06DD19AC"/>
    <w:rsid w:val="06F84D7D"/>
    <w:rsid w:val="06FA412F"/>
    <w:rsid w:val="07353C74"/>
    <w:rsid w:val="0779198D"/>
    <w:rsid w:val="078C1F33"/>
    <w:rsid w:val="07B850DE"/>
    <w:rsid w:val="07B959B1"/>
    <w:rsid w:val="07EF7893"/>
    <w:rsid w:val="07FE15B0"/>
    <w:rsid w:val="083F0917"/>
    <w:rsid w:val="0841118C"/>
    <w:rsid w:val="086B7D75"/>
    <w:rsid w:val="0870043B"/>
    <w:rsid w:val="08AF444E"/>
    <w:rsid w:val="090F16CA"/>
    <w:rsid w:val="09133D3D"/>
    <w:rsid w:val="0913705D"/>
    <w:rsid w:val="09B1188B"/>
    <w:rsid w:val="09CF4E09"/>
    <w:rsid w:val="0A1A51CE"/>
    <w:rsid w:val="0A7543B7"/>
    <w:rsid w:val="0A9740DA"/>
    <w:rsid w:val="0AA27AFA"/>
    <w:rsid w:val="0ACC0F45"/>
    <w:rsid w:val="0B190B16"/>
    <w:rsid w:val="0B4A1814"/>
    <w:rsid w:val="0B510D2F"/>
    <w:rsid w:val="0B9A7A1D"/>
    <w:rsid w:val="0BD60B5C"/>
    <w:rsid w:val="0C074FD4"/>
    <w:rsid w:val="0C1101B0"/>
    <w:rsid w:val="0C5010C1"/>
    <w:rsid w:val="0CAE5B2E"/>
    <w:rsid w:val="0D524167"/>
    <w:rsid w:val="0D681ED9"/>
    <w:rsid w:val="0D6C179F"/>
    <w:rsid w:val="0D707D2D"/>
    <w:rsid w:val="0D8B5E9F"/>
    <w:rsid w:val="0DDB664A"/>
    <w:rsid w:val="0DEE15B3"/>
    <w:rsid w:val="0E321D7B"/>
    <w:rsid w:val="0E76093E"/>
    <w:rsid w:val="0E8662DB"/>
    <w:rsid w:val="0E891356"/>
    <w:rsid w:val="0E997EF0"/>
    <w:rsid w:val="0EC440FF"/>
    <w:rsid w:val="0EEF320D"/>
    <w:rsid w:val="0EF139CD"/>
    <w:rsid w:val="0F1306A2"/>
    <w:rsid w:val="0FA12732"/>
    <w:rsid w:val="0FB84430"/>
    <w:rsid w:val="0FCC0A5A"/>
    <w:rsid w:val="0FE0018D"/>
    <w:rsid w:val="10221AC0"/>
    <w:rsid w:val="1040406A"/>
    <w:rsid w:val="10494EA7"/>
    <w:rsid w:val="106446DE"/>
    <w:rsid w:val="10842F24"/>
    <w:rsid w:val="11043CD0"/>
    <w:rsid w:val="110F10D1"/>
    <w:rsid w:val="112A53D1"/>
    <w:rsid w:val="11423544"/>
    <w:rsid w:val="11B82D63"/>
    <w:rsid w:val="11C5063A"/>
    <w:rsid w:val="11D0491B"/>
    <w:rsid w:val="12B27083"/>
    <w:rsid w:val="12BA7EC6"/>
    <w:rsid w:val="13116F0E"/>
    <w:rsid w:val="13132FCE"/>
    <w:rsid w:val="134A0035"/>
    <w:rsid w:val="135C7F4F"/>
    <w:rsid w:val="137E232B"/>
    <w:rsid w:val="13977EA6"/>
    <w:rsid w:val="13D626C5"/>
    <w:rsid w:val="14026F79"/>
    <w:rsid w:val="141B1C76"/>
    <w:rsid w:val="149871C1"/>
    <w:rsid w:val="1499542D"/>
    <w:rsid w:val="14A20FFB"/>
    <w:rsid w:val="153214F9"/>
    <w:rsid w:val="153372CB"/>
    <w:rsid w:val="164D618C"/>
    <w:rsid w:val="16563130"/>
    <w:rsid w:val="16742C74"/>
    <w:rsid w:val="167E3B55"/>
    <w:rsid w:val="169343E9"/>
    <w:rsid w:val="16AA08E2"/>
    <w:rsid w:val="16F24CA6"/>
    <w:rsid w:val="17097C7A"/>
    <w:rsid w:val="171776E1"/>
    <w:rsid w:val="174B1BFC"/>
    <w:rsid w:val="177E36D0"/>
    <w:rsid w:val="17BA22DB"/>
    <w:rsid w:val="180E362D"/>
    <w:rsid w:val="184002DC"/>
    <w:rsid w:val="1859524A"/>
    <w:rsid w:val="18787128"/>
    <w:rsid w:val="18AD6283"/>
    <w:rsid w:val="18AF0076"/>
    <w:rsid w:val="18B9619D"/>
    <w:rsid w:val="18CE6D0F"/>
    <w:rsid w:val="18FA3794"/>
    <w:rsid w:val="191242AE"/>
    <w:rsid w:val="19AC5C42"/>
    <w:rsid w:val="19BC1AC5"/>
    <w:rsid w:val="19CE5CE6"/>
    <w:rsid w:val="19E96DB2"/>
    <w:rsid w:val="1A253424"/>
    <w:rsid w:val="1A330485"/>
    <w:rsid w:val="1A515C54"/>
    <w:rsid w:val="1A907FA2"/>
    <w:rsid w:val="1AEF5DBD"/>
    <w:rsid w:val="1B423649"/>
    <w:rsid w:val="1B9C7678"/>
    <w:rsid w:val="1BA24967"/>
    <w:rsid w:val="1BC738A2"/>
    <w:rsid w:val="1BD95F94"/>
    <w:rsid w:val="1BDA5141"/>
    <w:rsid w:val="1C3D1CD0"/>
    <w:rsid w:val="1C443553"/>
    <w:rsid w:val="1C5E7298"/>
    <w:rsid w:val="1C851710"/>
    <w:rsid w:val="1CF64DCC"/>
    <w:rsid w:val="1D0E70C0"/>
    <w:rsid w:val="1D5760AE"/>
    <w:rsid w:val="1DDD518B"/>
    <w:rsid w:val="1DEE0D18"/>
    <w:rsid w:val="1E1C2855"/>
    <w:rsid w:val="1E3072B7"/>
    <w:rsid w:val="1E3867BB"/>
    <w:rsid w:val="1E403C53"/>
    <w:rsid w:val="1EA20D4A"/>
    <w:rsid w:val="1EAA6DF5"/>
    <w:rsid w:val="1EFF6958"/>
    <w:rsid w:val="1F0A1209"/>
    <w:rsid w:val="1F430AAD"/>
    <w:rsid w:val="1F734328"/>
    <w:rsid w:val="1FA11974"/>
    <w:rsid w:val="20203DE8"/>
    <w:rsid w:val="2031215C"/>
    <w:rsid w:val="205B6824"/>
    <w:rsid w:val="208D608B"/>
    <w:rsid w:val="20955704"/>
    <w:rsid w:val="20B36E47"/>
    <w:rsid w:val="20B64383"/>
    <w:rsid w:val="20C672AE"/>
    <w:rsid w:val="20DB7C51"/>
    <w:rsid w:val="20E9518E"/>
    <w:rsid w:val="211313D4"/>
    <w:rsid w:val="217A2C29"/>
    <w:rsid w:val="21853E00"/>
    <w:rsid w:val="21F86645"/>
    <w:rsid w:val="220B656A"/>
    <w:rsid w:val="223B2760"/>
    <w:rsid w:val="22940D99"/>
    <w:rsid w:val="22C6341A"/>
    <w:rsid w:val="22C82FAF"/>
    <w:rsid w:val="22D27DB7"/>
    <w:rsid w:val="22F97DD1"/>
    <w:rsid w:val="234E7F45"/>
    <w:rsid w:val="23C92B67"/>
    <w:rsid w:val="243C7878"/>
    <w:rsid w:val="245B6D34"/>
    <w:rsid w:val="24B5447A"/>
    <w:rsid w:val="24B82068"/>
    <w:rsid w:val="24E10292"/>
    <w:rsid w:val="24E1583C"/>
    <w:rsid w:val="24FD433F"/>
    <w:rsid w:val="25043CC9"/>
    <w:rsid w:val="25194ECF"/>
    <w:rsid w:val="25891BC3"/>
    <w:rsid w:val="25B51FD9"/>
    <w:rsid w:val="25EA5687"/>
    <w:rsid w:val="2626306D"/>
    <w:rsid w:val="26553B39"/>
    <w:rsid w:val="26946B35"/>
    <w:rsid w:val="26995143"/>
    <w:rsid w:val="27306E68"/>
    <w:rsid w:val="27606908"/>
    <w:rsid w:val="2773468D"/>
    <w:rsid w:val="277E77C1"/>
    <w:rsid w:val="27E26E59"/>
    <w:rsid w:val="2809471B"/>
    <w:rsid w:val="28255BB3"/>
    <w:rsid w:val="283B220A"/>
    <w:rsid w:val="285478B9"/>
    <w:rsid w:val="287D5E75"/>
    <w:rsid w:val="28AD0B61"/>
    <w:rsid w:val="28B901D4"/>
    <w:rsid w:val="28BF6F68"/>
    <w:rsid w:val="29423CBE"/>
    <w:rsid w:val="2958179E"/>
    <w:rsid w:val="296138D0"/>
    <w:rsid w:val="29667E3C"/>
    <w:rsid w:val="29CD3FA9"/>
    <w:rsid w:val="29D7452A"/>
    <w:rsid w:val="2A2A53F2"/>
    <w:rsid w:val="2A4B23FB"/>
    <w:rsid w:val="2A9B59F5"/>
    <w:rsid w:val="2AC548BF"/>
    <w:rsid w:val="2AC82235"/>
    <w:rsid w:val="2AF0613E"/>
    <w:rsid w:val="2AF17D3D"/>
    <w:rsid w:val="2B083F92"/>
    <w:rsid w:val="2B2B0D51"/>
    <w:rsid w:val="2B542A45"/>
    <w:rsid w:val="2BE54292"/>
    <w:rsid w:val="2C277C8A"/>
    <w:rsid w:val="2C3A1413"/>
    <w:rsid w:val="2CF51ED1"/>
    <w:rsid w:val="2CF81274"/>
    <w:rsid w:val="2CFA23BD"/>
    <w:rsid w:val="2D3A2C10"/>
    <w:rsid w:val="2D3B228A"/>
    <w:rsid w:val="2D5923F4"/>
    <w:rsid w:val="2D61283E"/>
    <w:rsid w:val="2DB6192E"/>
    <w:rsid w:val="2DF36570"/>
    <w:rsid w:val="2DF522EF"/>
    <w:rsid w:val="2E234330"/>
    <w:rsid w:val="2EB775B3"/>
    <w:rsid w:val="2ED208A9"/>
    <w:rsid w:val="2EE85B84"/>
    <w:rsid w:val="2EF94A67"/>
    <w:rsid w:val="300C1294"/>
    <w:rsid w:val="30291932"/>
    <w:rsid w:val="302E07AF"/>
    <w:rsid w:val="30371104"/>
    <w:rsid w:val="30946552"/>
    <w:rsid w:val="30F528BE"/>
    <w:rsid w:val="31042E81"/>
    <w:rsid w:val="311B0263"/>
    <w:rsid w:val="315B0BD0"/>
    <w:rsid w:val="31904B42"/>
    <w:rsid w:val="319D3380"/>
    <w:rsid w:val="31AE180F"/>
    <w:rsid w:val="31BA4889"/>
    <w:rsid w:val="320F244A"/>
    <w:rsid w:val="321E5346"/>
    <w:rsid w:val="32253171"/>
    <w:rsid w:val="325348A7"/>
    <w:rsid w:val="32705B18"/>
    <w:rsid w:val="32A47292"/>
    <w:rsid w:val="32A942B0"/>
    <w:rsid w:val="32AD163A"/>
    <w:rsid w:val="32E16793"/>
    <w:rsid w:val="32F13120"/>
    <w:rsid w:val="32FE0237"/>
    <w:rsid w:val="333663A2"/>
    <w:rsid w:val="333704BD"/>
    <w:rsid w:val="338D640C"/>
    <w:rsid w:val="33E26367"/>
    <w:rsid w:val="33F614DE"/>
    <w:rsid w:val="347C3CC9"/>
    <w:rsid w:val="347D6315"/>
    <w:rsid w:val="348E5264"/>
    <w:rsid w:val="34914DCA"/>
    <w:rsid w:val="34BA541B"/>
    <w:rsid w:val="34C6331F"/>
    <w:rsid w:val="34D95BB9"/>
    <w:rsid w:val="34F027A5"/>
    <w:rsid w:val="34F65DF3"/>
    <w:rsid w:val="350721BF"/>
    <w:rsid w:val="3557539D"/>
    <w:rsid w:val="3567753F"/>
    <w:rsid w:val="3579446A"/>
    <w:rsid w:val="35A0080B"/>
    <w:rsid w:val="361C2353"/>
    <w:rsid w:val="3635547B"/>
    <w:rsid w:val="36746B61"/>
    <w:rsid w:val="36946ACC"/>
    <w:rsid w:val="36A9407C"/>
    <w:rsid w:val="36F708D3"/>
    <w:rsid w:val="36FA1D41"/>
    <w:rsid w:val="37321BF2"/>
    <w:rsid w:val="373C7421"/>
    <w:rsid w:val="37693EC9"/>
    <w:rsid w:val="37C2178A"/>
    <w:rsid w:val="380411EC"/>
    <w:rsid w:val="381B099C"/>
    <w:rsid w:val="3829480D"/>
    <w:rsid w:val="383529C2"/>
    <w:rsid w:val="383C5BD0"/>
    <w:rsid w:val="383E3FCF"/>
    <w:rsid w:val="38536D3F"/>
    <w:rsid w:val="388727CC"/>
    <w:rsid w:val="38D17948"/>
    <w:rsid w:val="38E875EC"/>
    <w:rsid w:val="38F81AC0"/>
    <w:rsid w:val="39024B57"/>
    <w:rsid w:val="392321DF"/>
    <w:rsid w:val="39BD6FC6"/>
    <w:rsid w:val="39C50D41"/>
    <w:rsid w:val="3A06167E"/>
    <w:rsid w:val="3A6D1D87"/>
    <w:rsid w:val="3A6F42D5"/>
    <w:rsid w:val="3A82293D"/>
    <w:rsid w:val="3A9E2AD9"/>
    <w:rsid w:val="3AA31842"/>
    <w:rsid w:val="3AAC145E"/>
    <w:rsid w:val="3B0A77C1"/>
    <w:rsid w:val="3B3F7545"/>
    <w:rsid w:val="3B9B6557"/>
    <w:rsid w:val="3BA25772"/>
    <w:rsid w:val="3BAB091A"/>
    <w:rsid w:val="3BC23F1A"/>
    <w:rsid w:val="3BC46D08"/>
    <w:rsid w:val="3BFE1B46"/>
    <w:rsid w:val="3C5503C9"/>
    <w:rsid w:val="3CD8469E"/>
    <w:rsid w:val="3CE94CCB"/>
    <w:rsid w:val="3D0F0457"/>
    <w:rsid w:val="3D2E7413"/>
    <w:rsid w:val="3D966C01"/>
    <w:rsid w:val="3DA51E2F"/>
    <w:rsid w:val="3DB43891"/>
    <w:rsid w:val="3E274987"/>
    <w:rsid w:val="3E6A0CE8"/>
    <w:rsid w:val="3E701B29"/>
    <w:rsid w:val="3ECF1AFE"/>
    <w:rsid w:val="3EE00B8B"/>
    <w:rsid w:val="3F3903BA"/>
    <w:rsid w:val="40232AC1"/>
    <w:rsid w:val="402828F4"/>
    <w:rsid w:val="40325295"/>
    <w:rsid w:val="40374408"/>
    <w:rsid w:val="403F2559"/>
    <w:rsid w:val="40D3586A"/>
    <w:rsid w:val="40F82E28"/>
    <w:rsid w:val="413E0670"/>
    <w:rsid w:val="41585AC3"/>
    <w:rsid w:val="418C6A49"/>
    <w:rsid w:val="41B34CCB"/>
    <w:rsid w:val="41BA1D1D"/>
    <w:rsid w:val="41EA3670"/>
    <w:rsid w:val="420610DF"/>
    <w:rsid w:val="428B1338"/>
    <w:rsid w:val="429544E1"/>
    <w:rsid w:val="429C5170"/>
    <w:rsid w:val="42A64554"/>
    <w:rsid w:val="42CE6929"/>
    <w:rsid w:val="42F71CEC"/>
    <w:rsid w:val="434B1776"/>
    <w:rsid w:val="43687275"/>
    <w:rsid w:val="43CE2F36"/>
    <w:rsid w:val="44122928"/>
    <w:rsid w:val="443B107F"/>
    <w:rsid w:val="44615C7E"/>
    <w:rsid w:val="44B14540"/>
    <w:rsid w:val="44BA7E1E"/>
    <w:rsid w:val="44BE79C3"/>
    <w:rsid w:val="45070AD4"/>
    <w:rsid w:val="453B70A1"/>
    <w:rsid w:val="454C2171"/>
    <w:rsid w:val="45792F85"/>
    <w:rsid w:val="45950036"/>
    <w:rsid w:val="45CA31DA"/>
    <w:rsid w:val="45DE6B30"/>
    <w:rsid w:val="45EC6821"/>
    <w:rsid w:val="45F303D0"/>
    <w:rsid w:val="464004CF"/>
    <w:rsid w:val="469A7358"/>
    <w:rsid w:val="46AF28EC"/>
    <w:rsid w:val="46B433F5"/>
    <w:rsid w:val="46B51FCF"/>
    <w:rsid w:val="46BA0199"/>
    <w:rsid w:val="46E74160"/>
    <w:rsid w:val="47062A9A"/>
    <w:rsid w:val="47993F84"/>
    <w:rsid w:val="47BD666C"/>
    <w:rsid w:val="480A17DC"/>
    <w:rsid w:val="48882DD0"/>
    <w:rsid w:val="48D64859"/>
    <w:rsid w:val="491E031D"/>
    <w:rsid w:val="492F3120"/>
    <w:rsid w:val="497A0883"/>
    <w:rsid w:val="499804E8"/>
    <w:rsid w:val="49C71E38"/>
    <w:rsid w:val="4A284A82"/>
    <w:rsid w:val="4A586086"/>
    <w:rsid w:val="4A662E1D"/>
    <w:rsid w:val="4A7E32B4"/>
    <w:rsid w:val="4AAD0E25"/>
    <w:rsid w:val="4AFC533A"/>
    <w:rsid w:val="4B0D51B1"/>
    <w:rsid w:val="4B1367B9"/>
    <w:rsid w:val="4B316DE7"/>
    <w:rsid w:val="4B887A72"/>
    <w:rsid w:val="4B8E3C96"/>
    <w:rsid w:val="4B9E419F"/>
    <w:rsid w:val="4BBE63FC"/>
    <w:rsid w:val="4BD864D1"/>
    <w:rsid w:val="4C353BC7"/>
    <w:rsid w:val="4C5D54D6"/>
    <w:rsid w:val="4C814518"/>
    <w:rsid w:val="4C91315E"/>
    <w:rsid w:val="4CAD0872"/>
    <w:rsid w:val="4CCE50CA"/>
    <w:rsid w:val="4D003A5E"/>
    <w:rsid w:val="4D077DA2"/>
    <w:rsid w:val="4D1430F4"/>
    <w:rsid w:val="4D3A24A4"/>
    <w:rsid w:val="4D3F7EE4"/>
    <w:rsid w:val="4D52463D"/>
    <w:rsid w:val="4D594475"/>
    <w:rsid w:val="4DA73F2F"/>
    <w:rsid w:val="4DB06342"/>
    <w:rsid w:val="4DD0778F"/>
    <w:rsid w:val="4DEC01C6"/>
    <w:rsid w:val="4DF158ED"/>
    <w:rsid w:val="4E4D0205"/>
    <w:rsid w:val="4EC83A06"/>
    <w:rsid w:val="4F2C3853"/>
    <w:rsid w:val="4F686CF7"/>
    <w:rsid w:val="4F7F20AA"/>
    <w:rsid w:val="4F873909"/>
    <w:rsid w:val="4F97023B"/>
    <w:rsid w:val="4FED7CB1"/>
    <w:rsid w:val="4FF617D6"/>
    <w:rsid w:val="506B2DFC"/>
    <w:rsid w:val="50CB7C64"/>
    <w:rsid w:val="50E64646"/>
    <w:rsid w:val="516A6684"/>
    <w:rsid w:val="518C6DB2"/>
    <w:rsid w:val="51E261D3"/>
    <w:rsid w:val="526327EF"/>
    <w:rsid w:val="528A7FC0"/>
    <w:rsid w:val="52AB42DD"/>
    <w:rsid w:val="532C26FC"/>
    <w:rsid w:val="53322A76"/>
    <w:rsid w:val="538C7A18"/>
    <w:rsid w:val="53A1700A"/>
    <w:rsid w:val="53C54AA3"/>
    <w:rsid w:val="54336CC9"/>
    <w:rsid w:val="54802930"/>
    <w:rsid w:val="54A648D1"/>
    <w:rsid w:val="54AC6338"/>
    <w:rsid w:val="54E44ED6"/>
    <w:rsid w:val="554B14CD"/>
    <w:rsid w:val="55571991"/>
    <w:rsid w:val="557213D6"/>
    <w:rsid w:val="55826059"/>
    <w:rsid w:val="55C754C8"/>
    <w:rsid w:val="56317546"/>
    <w:rsid w:val="566931AC"/>
    <w:rsid w:val="5688390E"/>
    <w:rsid w:val="56CA5FF0"/>
    <w:rsid w:val="56F374FB"/>
    <w:rsid w:val="570F4499"/>
    <w:rsid w:val="572253C2"/>
    <w:rsid w:val="573A638B"/>
    <w:rsid w:val="57493695"/>
    <w:rsid w:val="575320EB"/>
    <w:rsid w:val="57BB4020"/>
    <w:rsid w:val="57C26ED4"/>
    <w:rsid w:val="58076959"/>
    <w:rsid w:val="58A15A50"/>
    <w:rsid w:val="58B06A81"/>
    <w:rsid w:val="59620232"/>
    <w:rsid w:val="59A00F56"/>
    <w:rsid w:val="59B24039"/>
    <w:rsid w:val="59C22E50"/>
    <w:rsid w:val="59FB712C"/>
    <w:rsid w:val="5A056B6B"/>
    <w:rsid w:val="5A284778"/>
    <w:rsid w:val="5A31005C"/>
    <w:rsid w:val="5A63078E"/>
    <w:rsid w:val="5AD27471"/>
    <w:rsid w:val="5B08614E"/>
    <w:rsid w:val="5B3D411A"/>
    <w:rsid w:val="5B404A56"/>
    <w:rsid w:val="5B4D6AD9"/>
    <w:rsid w:val="5B8D1AC1"/>
    <w:rsid w:val="5B8D718C"/>
    <w:rsid w:val="5BA3592C"/>
    <w:rsid w:val="5BC54CAC"/>
    <w:rsid w:val="5C4D023E"/>
    <w:rsid w:val="5C5A7F10"/>
    <w:rsid w:val="5C610721"/>
    <w:rsid w:val="5C8B6FF1"/>
    <w:rsid w:val="5CA24B2D"/>
    <w:rsid w:val="5CB163A0"/>
    <w:rsid w:val="5CB30402"/>
    <w:rsid w:val="5CDC2732"/>
    <w:rsid w:val="5CEB7EEE"/>
    <w:rsid w:val="5CFE4143"/>
    <w:rsid w:val="5DA318BF"/>
    <w:rsid w:val="5DB44CC9"/>
    <w:rsid w:val="5E055781"/>
    <w:rsid w:val="5E0E7F2F"/>
    <w:rsid w:val="5E204AD7"/>
    <w:rsid w:val="5E4C6102"/>
    <w:rsid w:val="5E6D4BC0"/>
    <w:rsid w:val="5E7B4189"/>
    <w:rsid w:val="5E88297C"/>
    <w:rsid w:val="5EB00C98"/>
    <w:rsid w:val="5EE4466F"/>
    <w:rsid w:val="5EEA5BA3"/>
    <w:rsid w:val="5F3E69CE"/>
    <w:rsid w:val="5F412AA9"/>
    <w:rsid w:val="5F4C2735"/>
    <w:rsid w:val="5FA40A7B"/>
    <w:rsid w:val="5FBA4AB4"/>
    <w:rsid w:val="6009519E"/>
    <w:rsid w:val="602A2D5D"/>
    <w:rsid w:val="60AD5F5F"/>
    <w:rsid w:val="60C00963"/>
    <w:rsid w:val="60E30438"/>
    <w:rsid w:val="612D3C7B"/>
    <w:rsid w:val="614A0A8C"/>
    <w:rsid w:val="61826F89"/>
    <w:rsid w:val="61DF1723"/>
    <w:rsid w:val="623D1155"/>
    <w:rsid w:val="623E2101"/>
    <w:rsid w:val="625E1DEF"/>
    <w:rsid w:val="62685F81"/>
    <w:rsid w:val="62907A35"/>
    <w:rsid w:val="62947A1C"/>
    <w:rsid w:val="62CD6DE1"/>
    <w:rsid w:val="62E70A4E"/>
    <w:rsid w:val="62EE4942"/>
    <w:rsid w:val="62FD4A9D"/>
    <w:rsid w:val="632C6FC4"/>
    <w:rsid w:val="634B3FF6"/>
    <w:rsid w:val="64460ECC"/>
    <w:rsid w:val="644F5E22"/>
    <w:rsid w:val="64542B7E"/>
    <w:rsid w:val="64681DB1"/>
    <w:rsid w:val="64902A98"/>
    <w:rsid w:val="649834A6"/>
    <w:rsid w:val="64D843A5"/>
    <w:rsid w:val="64FB7DD8"/>
    <w:rsid w:val="65285C53"/>
    <w:rsid w:val="652B7ADD"/>
    <w:rsid w:val="656C3DE9"/>
    <w:rsid w:val="65811A17"/>
    <w:rsid w:val="659362DC"/>
    <w:rsid w:val="65B57054"/>
    <w:rsid w:val="65BB4C4A"/>
    <w:rsid w:val="66346294"/>
    <w:rsid w:val="663B46C9"/>
    <w:rsid w:val="663F30CF"/>
    <w:rsid w:val="667645CC"/>
    <w:rsid w:val="66F81EE4"/>
    <w:rsid w:val="67413BF6"/>
    <w:rsid w:val="6755359A"/>
    <w:rsid w:val="676431FE"/>
    <w:rsid w:val="6790237B"/>
    <w:rsid w:val="67930113"/>
    <w:rsid w:val="67A7418D"/>
    <w:rsid w:val="67B75880"/>
    <w:rsid w:val="67D27C62"/>
    <w:rsid w:val="67DF6978"/>
    <w:rsid w:val="67EA0B8C"/>
    <w:rsid w:val="67EF6CF4"/>
    <w:rsid w:val="680B0911"/>
    <w:rsid w:val="684C792C"/>
    <w:rsid w:val="686A3D7D"/>
    <w:rsid w:val="694E04D2"/>
    <w:rsid w:val="698044A5"/>
    <w:rsid w:val="699167D2"/>
    <w:rsid w:val="69EC5C69"/>
    <w:rsid w:val="6A162446"/>
    <w:rsid w:val="6A510F7A"/>
    <w:rsid w:val="6AA67E64"/>
    <w:rsid w:val="6AD83D99"/>
    <w:rsid w:val="6B0D712F"/>
    <w:rsid w:val="6B28575B"/>
    <w:rsid w:val="6B3A78D7"/>
    <w:rsid w:val="6B4C2497"/>
    <w:rsid w:val="6BE4485D"/>
    <w:rsid w:val="6C1622CF"/>
    <w:rsid w:val="6C3B431E"/>
    <w:rsid w:val="6C857DA8"/>
    <w:rsid w:val="6CAD0DDA"/>
    <w:rsid w:val="6CC1587C"/>
    <w:rsid w:val="6CF118E0"/>
    <w:rsid w:val="6CF176B2"/>
    <w:rsid w:val="6D091335"/>
    <w:rsid w:val="6D167504"/>
    <w:rsid w:val="6D2B74AA"/>
    <w:rsid w:val="6D3F2368"/>
    <w:rsid w:val="6D697BC3"/>
    <w:rsid w:val="6D7111BC"/>
    <w:rsid w:val="6DAC5DDC"/>
    <w:rsid w:val="6DCA5CB9"/>
    <w:rsid w:val="6DD65377"/>
    <w:rsid w:val="6DDC0498"/>
    <w:rsid w:val="6DE92D60"/>
    <w:rsid w:val="6E094CA3"/>
    <w:rsid w:val="6E280F38"/>
    <w:rsid w:val="6E3D06C1"/>
    <w:rsid w:val="6E6C7AB6"/>
    <w:rsid w:val="6E8A21F7"/>
    <w:rsid w:val="6EA61787"/>
    <w:rsid w:val="6EAF0B76"/>
    <w:rsid w:val="6EF901F5"/>
    <w:rsid w:val="6F170B80"/>
    <w:rsid w:val="6F1F4946"/>
    <w:rsid w:val="6F2867BD"/>
    <w:rsid w:val="6F2E33F7"/>
    <w:rsid w:val="6F372A67"/>
    <w:rsid w:val="6F44559B"/>
    <w:rsid w:val="6F862BB9"/>
    <w:rsid w:val="6FA14ACB"/>
    <w:rsid w:val="702D6162"/>
    <w:rsid w:val="703031CF"/>
    <w:rsid w:val="703A2630"/>
    <w:rsid w:val="706A2D3D"/>
    <w:rsid w:val="706F26B9"/>
    <w:rsid w:val="709C594C"/>
    <w:rsid w:val="70B240EF"/>
    <w:rsid w:val="71D05F49"/>
    <w:rsid w:val="71F97835"/>
    <w:rsid w:val="721557E2"/>
    <w:rsid w:val="72563F32"/>
    <w:rsid w:val="7260580F"/>
    <w:rsid w:val="72786053"/>
    <w:rsid w:val="72A46F04"/>
    <w:rsid w:val="72A66EA6"/>
    <w:rsid w:val="72B220FA"/>
    <w:rsid w:val="72D66B55"/>
    <w:rsid w:val="72FB43B2"/>
    <w:rsid w:val="72FE7516"/>
    <w:rsid w:val="73090FE2"/>
    <w:rsid w:val="73265607"/>
    <w:rsid w:val="73742106"/>
    <w:rsid w:val="739D19BD"/>
    <w:rsid w:val="73C86084"/>
    <w:rsid w:val="73F82EA2"/>
    <w:rsid w:val="7435596C"/>
    <w:rsid w:val="74722C9A"/>
    <w:rsid w:val="747E452E"/>
    <w:rsid w:val="748138CD"/>
    <w:rsid w:val="74FA5A4A"/>
    <w:rsid w:val="75560310"/>
    <w:rsid w:val="755F161D"/>
    <w:rsid w:val="75830456"/>
    <w:rsid w:val="75884210"/>
    <w:rsid w:val="75BD4A84"/>
    <w:rsid w:val="75EA7003"/>
    <w:rsid w:val="75F74937"/>
    <w:rsid w:val="760D56E2"/>
    <w:rsid w:val="76367687"/>
    <w:rsid w:val="76A72C39"/>
    <w:rsid w:val="76EE218C"/>
    <w:rsid w:val="772E0B03"/>
    <w:rsid w:val="773E00CC"/>
    <w:rsid w:val="774E674C"/>
    <w:rsid w:val="77644920"/>
    <w:rsid w:val="778A542A"/>
    <w:rsid w:val="77B518A9"/>
    <w:rsid w:val="77C177F8"/>
    <w:rsid w:val="77EF5E51"/>
    <w:rsid w:val="786E27DF"/>
    <w:rsid w:val="788A04D2"/>
    <w:rsid w:val="7899537E"/>
    <w:rsid w:val="79332F0B"/>
    <w:rsid w:val="7936051F"/>
    <w:rsid w:val="796412EC"/>
    <w:rsid w:val="797662BF"/>
    <w:rsid w:val="79C11BD2"/>
    <w:rsid w:val="79E8078D"/>
    <w:rsid w:val="7A254CDF"/>
    <w:rsid w:val="7A2C376D"/>
    <w:rsid w:val="7A3422EE"/>
    <w:rsid w:val="7A4774F3"/>
    <w:rsid w:val="7AA678C6"/>
    <w:rsid w:val="7ACA07DA"/>
    <w:rsid w:val="7AF233F9"/>
    <w:rsid w:val="7AF92FC2"/>
    <w:rsid w:val="7B113087"/>
    <w:rsid w:val="7B5441DD"/>
    <w:rsid w:val="7B652283"/>
    <w:rsid w:val="7B751BAB"/>
    <w:rsid w:val="7B786BEC"/>
    <w:rsid w:val="7B9E2E7D"/>
    <w:rsid w:val="7BEA35A6"/>
    <w:rsid w:val="7C050B07"/>
    <w:rsid w:val="7C05676B"/>
    <w:rsid w:val="7C296DBC"/>
    <w:rsid w:val="7C9E7A01"/>
    <w:rsid w:val="7CC65C0B"/>
    <w:rsid w:val="7CCA4026"/>
    <w:rsid w:val="7D2E186E"/>
    <w:rsid w:val="7D584927"/>
    <w:rsid w:val="7D6B6381"/>
    <w:rsid w:val="7D7510D7"/>
    <w:rsid w:val="7D8F4D8B"/>
    <w:rsid w:val="7DBA4407"/>
    <w:rsid w:val="7DD14D63"/>
    <w:rsid w:val="7E0773D0"/>
    <w:rsid w:val="7E0B3287"/>
    <w:rsid w:val="7E4C1258"/>
    <w:rsid w:val="7E5D66DD"/>
    <w:rsid w:val="7E734104"/>
    <w:rsid w:val="7EB458EC"/>
    <w:rsid w:val="7EEE5FCC"/>
    <w:rsid w:val="7F160BF6"/>
    <w:rsid w:val="7F272563"/>
    <w:rsid w:val="7F2E279D"/>
    <w:rsid w:val="7F2F0CF5"/>
    <w:rsid w:val="7F60044C"/>
    <w:rsid w:val="7F7054DF"/>
    <w:rsid w:val="7F880165"/>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5</Pages>
  <Words>1139</Words>
  <Characters>6496</Characters>
  <Lines>54</Lines>
  <Paragraphs>15</Paragraphs>
  <TotalTime>2</TotalTime>
  <ScaleCrop>false</ScaleCrop>
  <LinksUpToDate>false</LinksUpToDate>
  <CharactersWithSpaces>7620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2025-09-30T07:24:04Z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2052-12.8.2.21549</vt:lpwstr>
  </property>
  <property fmtid="{D5CDD505-2E9C-101B-9397-08002B2CF9AE}" pid="17" name="ICV">
    <vt:lpwstr>9C93CC2D40A0426499D7D68D96216882_13</vt:lpwstr>
  </property>
</Properties>
</file>